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项目名称：学院VPN设备延保和软件升级服务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项目编号：JSITFW2026042902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3"/>
        <w:ind w:leftChars="0" w:firstLine="320" w:firstLineChars="10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4</w:t>
      </w:r>
      <w:r>
        <w:rPr>
          <w:rFonts w:hint="eastAsia" w:ascii="宋体" w:hAnsi="宋体" w:eastAsia="宋体"/>
          <w:color w:val="000000"/>
        </w:rPr>
        <w:t>月</w:t>
      </w:r>
      <w:r>
        <w:rPr>
          <w:rFonts w:hint="eastAsia" w:ascii="宋体" w:hAnsi="宋体" w:eastAsia="宋体"/>
          <w:color w:val="000000"/>
          <w:lang w:val="en-US" w:eastAsia="zh-CN"/>
        </w:rPr>
        <w:t>30</w:t>
      </w:r>
      <w:r>
        <w:rPr>
          <w:rFonts w:hint="eastAsia" w:ascii="宋体" w:hAnsi="宋体" w:eastAsia="宋体"/>
          <w:color w:val="000000"/>
        </w:rPr>
        <w:t>日</w:t>
      </w:r>
    </w:p>
    <w:p w14:paraId="62849E17">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江苏信息职业技术学院招投标中心受学校委托，就学院学院VPN设备延保和软件升级服务项目进行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名称：学院VPN设备延保和软件升级服务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编号：JSITFW2026042902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5</w:t>
      </w:r>
      <w:r>
        <w:rPr>
          <w:rFonts w:hint="eastAsia"/>
          <w:color w:val="000000"/>
          <w:sz w:val="24"/>
        </w:rPr>
        <w:t>月</w:t>
      </w:r>
      <w:r>
        <w:rPr>
          <w:rFonts w:hint="eastAsia"/>
          <w:color w:val="000000"/>
          <w:sz w:val="24"/>
          <w:lang w:val="en-US" w:eastAsia="zh-CN"/>
        </w:rPr>
        <w:t>27</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1</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1</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1</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技术联系人：陶老师</w:t>
      </w:r>
    </w:p>
    <w:p w14:paraId="200522DF">
      <w:pPr>
        <w:spacing w:line="360" w:lineRule="auto"/>
        <w:ind w:firstLine="969" w:firstLineChars="391"/>
        <w:rPr>
          <w:color w:val="000000"/>
          <w:spacing w:val="4"/>
          <w:sz w:val="24"/>
        </w:rPr>
      </w:pPr>
      <w:r>
        <w:rPr>
          <w:rFonts w:hint="eastAsia"/>
          <w:color w:val="000000"/>
          <w:spacing w:val="4"/>
          <w:sz w:val="24"/>
        </w:rPr>
        <w:t>联系电话：18012363576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5</w:t>
      </w:r>
      <w:r>
        <w:rPr>
          <w:rFonts w:hint="eastAsia"/>
          <w:color w:val="000000"/>
          <w:spacing w:val="4"/>
          <w:sz w:val="24"/>
        </w:rPr>
        <w:t>月</w:t>
      </w:r>
      <w:r>
        <w:rPr>
          <w:rFonts w:hint="eastAsia"/>
          <w:color w:val="000000"/>
          <w:spacing w:val="4"/>
          <w:sz w:val="24"/>
          <w:lang w:val="en-US" w:eastAsia="zh-CN"/>
        </w:rPr>
        <w:t>21</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610"/>
        <w:gridCol w:w="7473"/>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1610"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473"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1610"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40</w:t>
            </w:r>
            <w:r>
              <w:rPr>
                <w:rFonts w:hint="eastAsia" w:ascii="宋体" w:hAnsi="宋体"/>
                <w:color w:val="000000"/>
                <w:sz w:val="24"/>
              </w:rPr>
              <w:t>分）</w:t>
            </w:r>
          </w:p>
        </w:tc>
        <w:tc>
          <w:tcPr>
            <w:tcW w:w="7473"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40</w:t>
            </w:r>
            <w:r>
              <w:rPr>
                <w:rFonts w:hint="eastAsia" w:ascii="宋体" w:hAnsi="宋体"/>
                <w:color w:val="000000"/>
                <w:sz w:val="24"/>
              </w:rPr>
              <w:t>。</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610" w:type="dxa"/>
            <w:noWrap/>
            <w:vAlign w:val="center"/>
          </w:tcPr>
          <w:p w14:paraId="6EAAEE24">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rPr>
              <w:t>业绩</w:t>
            </w:r>
            <w:r>
              <w:rPr>
                <w:rFonts w:hint="eastAsia" w:ascii="宋体" w:hAnsi="宋体"/>
                <w:color w:val="000000"/>
                <w:sz w:val="24"/>
                <w:lang w:eastAsia="zh-CN"/>
              </w:rPr>
              <w:t>（</w:t>
            </w:r>
            <w:r>
              <w:rPr>
                <w:rFonts w:hint="eastAsia" w:ascii="宋体" w:hAnsi="宋体"/>
                <w:color w:val="000000"/>
                <w:sz w:val="24"/>
                <w:lang w:val="en-US" w:eastAsia="zh-CN"/>
              </w:rPr>
              <w:t>6分</w:t>
            </w:r>
            <w:r>
              <w:rPr>
                <w:rFonts w:hint="eastAsia" w:ascii="宋体" w:hAnsi="宋体"/>
                <w:color w:val="000000"/>
                <w:sz w:val="24"/>
                <w:lang w:eastAsia="zh-CN"/>
              </w:rPr>
              <w:t>）</w:t>
            </w:r>
          </w:p>
        </w:tc>
        <w:tc>
          <w:tcPr>
            <w:tcW w:w="7473" w:type="dxa"/>
            <w:vAlign w:val="center"/>
          </w:tcPr>
          <w:p w14:paraId="2E7ED13E">
            <w:pPr>
              <w:tabs>
                <w:tab w:val="left" w:pos="840"/>
                <w:tab w:val="left" w:pos="1050"/>
              </w:tabs>
              <w:adjustRightInd w:val="0"/>
              <w:snapToGrid w:val="0"/>
              <w:spacing w:line="460" w:lineRule="exact"/>
              <w:jc w:val="left"/>
              <w:rPr>
                <w:rFonts w:hint="default" w:ascii="宋体" w:hAnsi="宋体" w:eastAsia="宋体"/>
                <w:color w:val="000000"/>
                <w:sz w:val="24"/>
                <w:lang w:val="en-US" w:eastAsia="zh-CN"/>
              </w:rPr>
            </w:pPr>
            <w:r>
              <w:rPr>
                <w:rFonts w:hint="eastAsia" w:ascii="宋体" w:hAnsi="宋体"/>
                <w:color w:val="000000"/>
                <w:sz w:val="24"/>
              </w:rPr>
              <w:t>近 3 年（自投标截止时间</w:t>
            </w:r>
            <w:r>
              <w:rPr>
                <w:rFonts w:hint="eastAsia" w:ascii="宋体" w:hAnsi="宋体"/>
                <w:color w:val="000000"/>
                <w:sz w:val="24"/>
                <w:lang w:val="en-US" w:eastAsia="zh-CN"/>
              </w:rPr>
              <w:t>往</w:t>
            </w:r>
            <w:r>
              <w:rPr>
                <w:rFonts w:hint="eastAsia" w:ascii="宋体" w:hAnsi="宋体"/>
                <w:color w:val="000000"/>
                <w:sz w:val="24"/>
              </w:rPr>
              <w:t>前推 3 年）具有类似</w:t>
            </w:r>
            <w:r>
              <w:rPr>
                <w:rFonts w:hint="eastAsia" w:ascii="宋体" w:hAnsi="宋体"/>
                <w:color w:val="FF0000"/>
                <w:sz w:val="24"/>
                <w:lang w:val="en-US" w:eastAsia="zh-CN"/>
              </w:rPr>
              <w:t>高校</w:t>
            </w:r>
            <w:r>
              <w:rPr>
                <w:rFonts w:hint="eastAsia" w:ascii="宋体" w:hAnsi="宋体"/>
                <w:color w:val="000000"/>
                <w:sz w:val="24"/>
                <w:lang w:val="en-US" w:eastAsia="zh-CN"/>
              </w:rPr>
              <w:t>VPN等安全设备延保和软件升级服务</w:t>
            </w:r>
            <w:r>
              <w:rPr>
                <w:rFonts w:hint="eastAsia" w:ascii="宋体" w:hAnsi="宋体"/>
                <w:color w:val="000000"/>
                <w:sz w:val="24"/>
              </w:rPr>
              <w:t xml:space="preserve">项目业绩，每提供一份合同复印件得 2 分，最高得 </w:t>
            </w:r>
            <w:r>
              <w:rPr>
                <w:rFonts w:hint="eastAsia" w:ascii="宋体" w:hAnsi="宋体"/>
                <w:color w:val="000000"/>
                <w:sz w:val="24"/>
                <w:lang w:val="en-US" w:eastAsia="zh-CN"/>
              </w:rPr>
              <w:t>6</w:t>
            </w:r>
            <w:r>
              <w:rPr>
                <w:rFonts w:hint="eastAsia" w:ascii="宋体" w:hAnsi="宋体"/>
                <w:color w:val="000000"/>
                <w:sz w:val="24"/>
              </w:rPr>
              <w:t>分。</w:t>
            </w:r>
            <w:r>
              <w:rPr>
                <w:rFonts w:hint="eastAsia" w:ascii="宋体" w:hAnsi="宋体"/>
                <w:color w:val="000000"/>
                <w:sz w:val="24"/>
                <w:lang w:val="en-US" w:eastAsia="zh-CN"/>
              </w:rPr>
              <w:t>合同时间以签订时间为准。（提供合同复印件并加盖公章，否则不得分）</w:t>
            </w:r>
          </w:p>
        </w:tc>
      </w:tr>
      <w:tr w14:paraId="239C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77F65C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610" w:type="dxa"/>
            <w:vMerge w:val="restart"/>
            <w:noWrap/>
            <w:vAlign w:val="center"/>
          </w:tcPr>
          <w:p w14:paraId="0E0AC969">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供应商资质和实力（</w:t>
            </w:r>
            <w:r>
              <w:rPr>
                <w:rFonts w:hint="eastAsia" w:ascii="宋体" w:hAnsi="宋体"/>
                <w:color w:val="FF0000"/>
                <w:sz w:val="24"/>
                <w:lang w:val="en-US" w:eastAsia="zh-CN"/>
              </w:rPr>
              <w:t>10</w:t>
            </w:r>
            <w:r>
              <w:rPr>
                <w:rFonts w:hint="eastAsia" w:ascii="宋体" w:hAnsi="宋体"/>
                <w:color w:val="000000"/>
                <w:sz w:val="24"/>
                <w:lang w:val="en-US" w:eastAsia="zh-CN"/>
              </w:rPr>
              <w:t>分）</w:t>
            </w:r>
          </w:p>
        </w:tc>
        <w:tc>
          <w:tcPr>
            <w:tcW w:w="7473" w:type="dxa"/>
            <w:vAlign w:val="center"/>
          </w:tcPr>
          <w:p w14:paraId="583AA72F">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具有CCRC信息系统安全集成服务二级及以上的，得2分；</w:t>
            </w:r>
          </w:p>
          <w:p w14:paraId="7A7B9F33">
            <w:pPr>
              <w:tabs>
                <w:tab w:val="left" w:pos="840"/>
                <w:tab w:val="left" w:pos="1050"/>
              </w:tabs>
              <w:adjustRightInd w:val="0"/>
              <w:snapToGrid w:val="0"/>
              <w:spacing w:line="460" w:lineRule="exact"/>
              <w:jc w:val="left"/>
              <w:rPr>
                <w:rFonts w:hint="eastAsia" w:ascii="宋体" w:hAnsi="宋体"/>
                <w:color w:val="FF0000"/>
                <w:sz w:val="24"/>
                <w:lang w:val="en-US" w:eastAsia="zh-CN"/>
              </w:rPr>
            </w:pPr>
            <w:r>
              <w:rPr>
                <w:rFonts w:hint="eastAsia" w:ascii="宋体" w:hAnsi="宋体"/>
                <w:color w:val="000000"/>
                <w:sz w:val="24"/>
                <w:lang w:val="en-US" w:eastAsia="zh-CN"/>
              </w:rPr>
              <w:t>具有ITSS信息技术服务标准等级二级及以上证书的得2分；</w:t>
            </w:r>
          </w:p>
          <w:p w14:paraId="1C66BB95">
            <w:pPr>
              <w:tabs>
                <w:tab w:val="left" w:pos="840"/>
                <w:tab w:val="left" w:pos="1050"/>
              </w:tabs>
              <w:adjustRightInd w:val="0"/>
              <w:snapToGrid w:val="0"/>
              <w:spacing w:line="460" w:lineRule="exact"/>
              <w:jc w:val="left"/>
              <w:rPr>
                <w:rFonts w:hint="default" w:ascii="宋体" w:hAnsi="宋体" w:eastAsia="宋体"/>
                <w:color w:val="000000"/>
                <w:sz w:val="24"/>
                <w:lang w:val="en-US" w:eastAsia="zh-CN"/>
              </w:rPr>
            </w:pPr>
            <w:r>
              <w:rPr>
                <w:rFonts w:hint="eastAsia" w:ascii="宋体" w:hAnsi="宋体"/>
                <w:color w:val="FF0000"/>
                <w:sz w:val="24"/>
                <w:lang w:val="en-US" w:eastAsia="zh-CN"/>
              </w:rPr>
              <w:t>投标人具有VPN设备（深信服）原厂针对本项目的投标授权函，得3分；</w:t>
            </w:r>
          </w:p>
        </w:tc>
      </w:tr>
      <w:tr w14:paraId="0C44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F987314">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10</w:t>
            </w:r>
          </w:p>
        </w:tc>
        <w:tc>
          <w:tcPr>
            <w:tcW w:w="1610" w:type="dxa"/>
            <w:vMerge w:val="continue"/>
            <w:noWrap/>
            <w:vAlign w:val="center"/>
          </w:tcPr>
          <w:p w14:paraId="7D0FBEC6">
            <w:pPr>
              <w:widowControl/>
              <w:spacing w:line="400" w:lineRule="exact"/>
              <w:jc w:val="center"/>
              <w:rPr>
                <w:rFonts w:hint="eastAsia" w:ascii="宋体" w:hAnsi="宋体"/>
                <w:color w:val="000000"/>
                <w:sz w:val="24"/>
                <w:lang w:val="en-US" w:eastAsia="zh-CN"/>
              </w:rPr>
            </w:pPr>
          </w:p>
        </w:tc>
        <w:tc>
          <w:tcPr>
            <w:tcW w:w="7473" w:type="dxa"/>
            <w:vAlign w:val="center"/>
          </w:tcPr>
          <w:p w14:paraId="7C7989B5">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拥有 ISO9001 质量管理体系认证、信息安全服务资质的，有一个得2分，最高得</w:t>
            </w:r>
            <w:r>
              <w:rPr>
                <w:rFonts w:hint="eastAsia" w:ascii="宋体" w:hAnsi="宋体"/>
                <w:color w:val="FF0000"/>
                <w:sz w:val="24"/>
                <w:lang w:val="en-US" w:eastAsia="zh-CN"/>
              </w:rPr>
              <w:t>3</w:t>
            </w:r>
            <w:r>
              <w:rPr>
                <w:rFonts w:hint="eastAsia" w:ascii="宋体" w:hAnsi="宋体"/>
                <w:color w:val="000000"/>
                <w:sz w:val="24"/>
                <w:lang w:val="en-US" w:eastAsia="zh-CN"/>
              </w:rPr>
              <w:t>分。</w:t>
            </w:r>
          </w:p>
        </w:tc>
      </w:tr>
      <w:tr w14:paraId="4A1A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3E63F2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1610" w:type="dxa"/>
            <w:noWrap/>
            <w:vAlign w:val="center"/>
          </w:tcPr>
          <w:p w14:paraId="5B2F4415">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技术团队（8分）</w:t>
            </w:r>
          </w:p>
        </w:tc>
        <w:tc>
          <w:tcPr>
            <w:tcW w:w="7473" w:type="dxa"/>
            <w:vAlign w:val="center"/>
          </w:tcPr>
          <w:p w14:paraId="64371DE1">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项目团队成员中：</w:t>
            </w:r>
          </w:p>
          <w:p w14:paraId="06402527">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持有 VPN 厂商认证</w:t>
            </w:r>
            <w:r>
              <w:rPr>
                <w:rFonts w:hint="eastAsia" w:ascii="宋体" w:hAnsi="宋体"/>
                <w:color w:val="FF0000"/>
                <w:sz w:val="24"/>
                <w:lang w:val="en-US" w:eastAsia="zh-CN"/>
              </w:rPr>
              <w:t>资深</w:t>
            </w:r>
            <w:r>
              <w:rPr>
                <w:rFonts w:hint="eastAsia" w:ascii="宋体" w:hAnsi="宋体"/>
                <w:color w:val="000000"/>
                <w:sz w:val="24"/>
                <w:lang w:val="en-US" w:eastAsia="zh-CN"/>
              </w:rPr>
              <w:t>工程师证书，有一个得2分，最高得4分；</w:t>
            </w:r>
          </w:p>
          <w:p w14:paraId="2E260DAF">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持有 CISAW（信息安全保障人员）认证的，得 2分，最高得4分；</w:t>
            </w:r>
          </w:p>
          <w:p w14:paraId="5AA92170">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无相关专业认证的，得 0 分；​</w:t>
            </w:r>
          </w:p>
          <w:p w14:paraId="0F9DA73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需提供证书复印件及近 3 个月社保证明（证明团队稳定性）并加盖公章，否则对应分值不得分。</w:t>
            </w:r>
          </w:p>
        </w:tc>
      </w:tr>
      <w:tr w14:paraId="6EB1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8B8FA1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610" w:type="dxa"/>
            <w:noWrap/>
            <w:vAlign w:val="center"/>
          </w:tcPr>
          <w:p w14:paraId="79300A27">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数据安全合规保障（4分）</w:t>
            </w:r>
          </w:p>
        </w:tc>
        <w:tc>
          <w:tcPr>
            <w:tcW w:w="7473" w:type="dxa"/>
            <w:vAlign w:val="center"/>
          </w:tcPr>
          <w:p w14:paraId="64B819F4">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承诺服务过程中严格遵守《数据安全法》《个人信息保护法》，提供数据加密传输、操作日志留存≥6 个月的合规方案，得 4 分；</w:t>
            </w:r>
            <w:r>
              <w:rPr>
                <w:rFonts w:hint="default" w:ascii="宋体" w:hAnsi="宋体"/>
                <w:color w:val="000000"/>
                <w:sz w:val="24"/>
                <w:lang w:val="en-US" w:eastAsia="zh-CN"/>
              </w:rPr>
              <w:t>​</w:t>
            </w:r>
          </w:p>
          <w:p w14:paraId="0AB0531F">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default" w:ascii="宋体" w:hAnsi="宋体"/>
                <w:color w:val="000000"/>
                <w:sz w:val="24"/>
                <w:lang w:val="en-US" w:eastAsia="zh-CN"/>
              </w:rPr>
              <w:t>未提供明确合规方案或不满足留存要求的，得 0 分（需提供合规承诺函）。</w:t>
            </w:r>
          </w:p>
        </w:tc>
      </w:tr>
      <w:tr w14:paraId="6753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AB94834">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610" w:type="dxa"/>
            <w:noWrap/>
            <w:vAlign w:val="center"/>
          </w:tcPr>
          <w:p w14:paraId="54606ED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升级服务标准（10分）</w:t>
            </w:r>
          </w:p>
        </w:tc>
        <w:tc>
          <w:tcPr>
            <w:tcW w:w="7473" w:type="dxa"/>
            <w:vAlign w:val="center"/>
          </w:tcPr>
          <w:p w14:paraId="73143BD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承诺提供原厂商正规升级授权，包含版本升级、规则库更新、漏洞补丁、BUG 修复，且升级频次完全与厂商同步的，得 10分；</w:t>
            </w:r>
            <w:r>
              <w:rPr>
                <w:rFonts w:hint="default" w:ascii="宋体" w:hAnsi="宋体"/>
                <w:color w:val="000000"/>
                <w:sz w:val="24"/>
                <w:lang w:val="en-US" w:eastAsia="zh-CN"/>
              </w:rPr>
              <w:t>​</w:t>
            </w:r>
          </w:p>
          <w:p w14:paraId="3534B8D9">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default" w:ascii="宋体" w:hAnsi="宋体"/>
                <w:color w:val="000000"/>
                <w:sz w:val="24"/>
                <w:lang w:val="en-US" w:eastAsia="zh-CN"/>
              </w:rPr>
              <w:t xml:space="preserve">仅提供部分升级服务（如不含规则库更新）的，得 </w:t>
            </w:r>
            <w:r>
              <w:rPr>
                <w:rFonts w:hint="eastAsia" w:ascii="宋体" w:hAnsi="宋体"/>
                <w:color w:val="000000"/>
                <w:sz w:val="24"/>
                <w:lang w:val="en-US" w:eastAsia="zh-CN"/>
              </w:rPr>
              <w:t>5</w:t>
            </w:r>
            <w:r>
              <w:rPr>
                <w:rFonts w:hint="default" w:ascii="宋体" w:hAnsi="宋体"/>
                <w:color w:val="000000"/>
                <w:sz w:val="24"/>
                <w:lang w:val="en-US" w:eastAsia="zh-CN"/>
              </w:rPr>
              <w:t>分；​</w:t>
            </w:r>
          </w:p>
          <w:p w14:paraId="53537F45">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default" w:ascii="宋体" w:hAnsi="宋体"/>
                <w:color w:val="000000"/>
                <w:sz w:val="24"/>
                <w:lang w:val="en-US" w:eastAsia="zh-CN"/>
              </w:rPr>
              <w:t>未明确升级范围及授权的，得 0 分。</w:t>
            </w:r>
          </w:p>
          <w:p w14:paraId="0CD1C40B">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b/>
                <w:bCs/>
                <w:color w:val="000000"/>
                <w:sz w:val="24"/>
                <w:lang w:val="en-US" w:eastAsia="zh-CN"/>
              </w:rPr>
              <w:t>提供承诺书并加盖公章，否则不得分</w:t>
            </w:r>
          </w:p>
        </w:tc>
      </w:tr>
      <w:tr w14:paraId="7AA0C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C005DE2">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610" w:type="dxa"/>
            <w:noWrap/>
            <w:vAlign w:val="center"/>
          </w:tcPr>
          <w:p w14:paraId="62897953">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服务方案（10分）</w:t>
            </w:r>
          </w:p>
        </w:tc>
        <w:tc>
          <w:tcPr>
            <w:tcW w:w="7473" w:type="dxa"/>
            <w:vAlign w:val="center"/>
          </w:tcPr>
          <w:p w14:paraId="2FE0E8A8">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提供详细、合理的服务方案，包括服务响应时间、</w:t>
            </w:r>
            <w:r>
              <w:rPr>
                <w:rFonts w:hint="eastAsia" w:ascii="宋体" w:hAnsi="宋体"/>
                <w:color w:val="000000"/>
                <w:sz w:val="24"/>
                <w:lang w:val="en-US" w:eastAsia="zh-CN"/>
              </w:rPr>
              <w:t>维保</w:t>
            </w:r>
            <w:r>
              <w:rPr>
                <w:rFonts w:hint="eastAsia" w:ascii="宋体" w:hAnsi="宋体"/>
                <w:color w:val="000000"/>
                <w:sz w:val="24"/>
                <w:lang w:eastAsia="zh-CN"/>
              </w:rPr>
              <w:t>措施、技术支持、</w:t>
            </w:r>
            <w:r>
              <w:rPr>
                <w:rFonts w:hint="eastAsia" w:ascii="宋体" w:hAnsi="宋体"/>
                <w:color w:val="000000"/>
                <w:sz w:val="24"/>
                <w:lang w:val="en-US" w:eastAsia="zh-CN"/>
              </w:rPr>
              <w:t>用户培训</w:t>
            </w:r>
            <w:r>
              <w:rPr>
                <w:rFonts w:hint="eastAsia" w:ascii="宋体" w:hAnsi="宋体"/>
                <w:color w:val="000000"/>
                <w:sz w:val="24"/>
                <w:lang w:eastAsia="zh-CN"/>
              </w:rPr>
              <w:t>等内容。</w:t>
            </w:r>
          </w:p>
          <w:p w14:paraId="7592CC4D">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 xml:space="preserve">方案全面、可行，服务承诺优厚，得 </w:t>
            </w:r>
            <w:r>
              <w:rPr>
                <w:rFonts w:hint="eastAsia" w:ascii="宋体" w:hAnsi="宋体"/>
                <w:color w:val="000000"/>
                <w:sz w:val="24"/>
                <w:lang w:val="en-US" w:eastAsia="zh-CN"/>
              </w:rPr>
              <w:t>10</w:t>
            </w:r>
            <w:r>
              <w:rPr>
                <w:rFonts w:hint="eastAsia" w:ascii="宋体" w:hAnsi="宋体"/>
                <w:color w:val="000000"/>
                <w:sz w:val="24"/>
                <w:lang w:eastAsia="zh-CN"/>
              </w:rPr>
              <w:t xml:space="preserve"> 分；</w:t>
            </w:r>
          </w:p>
          <w:p w14:paraId="5EB6635D">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 xml:space="preserve">方案较完整，有一定可行性，服务承诺一般，得 </w:t>
            </w:r>
            <w:r>
              <w:rPr>
                <w:rFonts w:hint="eastAsia" w:ascii="宋体" w:hAnsi="宋体"/>
                <w:color w:val="000000"/>
                <w:sz w:val="24"/>
                <w:lang w:val="en-US" w:eastAsia="zh-CN"/>
              </w:rPr>
              <w:t>7</w:t>
            </w:r>
            <w:r>
              <w:rPr>
                <w:rFonts w:hint="eastAsia" w:ascii="宋体" w:hAnsi="宋体"/>
                <w:color w:val="000000"/>
                <w:sz w:val="24"/>
                <w:lang w:eastAsia="zh-CN"/>
              </w:rPr>
              <w:t>分；</w:t>
            </w:r>
          </w:p>
          <w:p w14:paraId="786416DF">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方案一般、可行性一般、服务承诺一般，得3分；</w:t>
            </w:r>
          </w:p>
          <w:p w14:paraId="69BDF159">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方案简单、可行性差，服务承诺不明确，得 1 分；</w:t>
            </w:r>
          </w:p>
          <w:p w14:paraId="6CE92B36">
            <w:pPr>
              <w:tabs>
                <w:tab w:val="left" w:pos="840"/>
                <w:tab w:val="left" w:pos="1050"/>
              </w:tabs>
              <w:adjustRightInd w:val="0"/>
              <w:snapToGrid w:val="0"/>
              <w:spacing w:line="460" w:lineRule="exact"/>
              <w:jc w:val="left"/>
              <w:rPr>
                <w:rFonts w:hint="eastAsia" w:ascii="宋体" w:hAnsi="宋体"/>
                <w:b/>
                <w:bCs/>
                <w:color w:val="000000"/>
                <w:sz w:val="24"/>
                <w:lang w:val="en-US" w:eastAsia="zh-CN"/>
              </w:rPr>
            </w:pPr>
            <w:r>
              <w:rPr>
                <w:rFonts w:hint="eastAsia" w:ascii="宋体" w:hAnsi="宋体"/>
                <w:color w:val="000000"/>
                <w:sz w:val="24"/>
                <w:lang w:val="en-US" w:eastAsia="zh-CN"/>
              </w:rPr>
              <w:t>不提供，不得分。</w:t>
            </w:r>
          </w:p>
        </w:tc>
      </w:tr>
      <w:tr w14:paraId="5B9A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6FA5896">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8</w:t>
            </w:r>
          </w:p>
        </w:tc>
        <w:tc>
          <w:tcPr>
            <w:tcW w:w="1610" w:type="dxa"/>
            <w:shd w:val="clear" w:color="auto" w:fill="auto"/>
            <w:noWrap/>
            <w:vAlign w:val="center"/>
          </w:tcPr>
          <w:p w14:paraId="1502A308">
            <w:pPr>
              <w:widowControl/>
              <w:spacing w:line="400" w:lineRule="exact"/>
              <w:jc w:val="center"/>
              <w:rPr>
                <w:rFonts w:hint="default" w:ascii="宋体" w:hAnsi="宋体" w:eastAsia="宋体" w:cs="Times New Roman"/>
                <w:color w:val="000000"/>
                <w:kern w:val="2"/>
                <w:sz w:val="24"/>
                <w:szCs w:val="24"/>
                <w:lang w:val="en-US" w:eastAsia="zh-CN" w:bidi="ar-SA"/>
              </w:rPr>
            </w:pPr>
            <w:r>
              <w:rPr>
                <w:rFonts w:hint="eastAsia" w:ascii="宋体" w:hAnsi="宋体"/>
                <w:color w:val="000000"/>
                <w:sz w:val="24"/>
                <w:lang w:val="en-US" w:eastAsia="zh-CN"/>
              </w:rPr>
              <w:t>应急方案（6分）</w:t>
            </w:r>
          </w:p>
        </w:tc>
        <w:tc>
          <w:tcPr>
            <w:tcW w:w="7473" w:type="dxa"/>
            <w:shd w:val="clear" w:color="auto" w:fill="auto"/>
            <w:vAlign w:val="center"/>
          </w:tcPr>
          <w:p w14:paraId="5D71FD8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根据投标人针对本项目可能出现的紧急情况采取的应对措施打分：</w:t>
            </w:r>
          </w:p>
          <w:p w14:paraId="45E4164E">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方案科学、严密、合理，描述详细且具有针对性的得6分；</w:t>
            </w:r>
          </w:p>
          <w:p w14:paraId="556D40E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较合理、严密、描述较为详细，不存在实施难度的得4分；</w:t>
            </w:r>
          </w:p>
          <w:p w14:paraId="38A81EA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基本合理、描述较正确、存在可操作性得2分；</w:t>
            </w:r>
          </w:p>
          <w:p w14:paraId="2B5072CB">
            <w:pPr>
              <w:tabs>
                <w:tab w:val="left" w:pos="840"/>
                <w:tab w:val="left" w:pos="1050"/>
              </w:tabs>
              <w:adjustRightInd w:val="0"/>
              <w:snapToGrid w:val="0"/>
              <w:spacing w:line="460" w:lineRule="exact"/>
              <w:jc w:val="left"/>
              <w:rPr>
                <w:rFonts w:hint="eastAsia" w:ascii="宋体" w:hAnsi="宋体" w:eastAsia="宋体" w:cs="Times New Roman"/>
                <w:color w:val="000000"/>
                <w:kern w:val="2"/>
                <w:sz w:val="24"/>
                <w:szCs w:val="24"/>
                <w:lang w:val="en-US" w:eastAsia="zh-CN" w:bidi="ar-SA"/>
              </w:rPr>
            </w:pPr>
            <w:r>
              <w:rPr>
                <w:rFonts w:hint="eastAsia" w:ascii="宋体" w:hAnsi="宋体"/>
                <w:color w:val="000000"/>
                <w:sz w:val="24"/>
                <w:lang w:val="en-US" w:eastAsia="zh-CN"/>
              </w:rPr>
              <w:t>不提供，不得分。</w:t>
            </w:r>
          </w:p>
        </w:tc>
      </w:tr>
      <w:tr w14:paraId="5007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6B43B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9</w:t>
            </w:r>
          </w:p>
        </w:tc>
        <w:tc>
          <w:tcPr>
            <w:tcW w:w="1610" w:type="dxa"/>
            <w:noWrap/>
            <w:vAlign w:val="center"/>
          </w:tcPr>
          <w:p w14:paraId="69F75733">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风险管控措施有效性（6分）</w:t>
            </w:r>
          </w:p>
        </w:tc>
        <w:tc>
          <w:tcPr>
            <w:tcW w:w="7473" w:type="dxa"/>
            <w:vAlign w:val="center"/>
          </w:tcPr>
          <w:p w14:paraId="36B818A4">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针对升级、维保过程中可能出现的网络中断、数据丢失、兼容性冲突等风险，制定全面且可落地的防控措施，得 6 分；</w:t>
            </w:r>
            <w:r>
              <w:rPr>
                <w:rFonts w:hint="default" w:ascii="宋体" w:hAnsi="宋体"/>
                <w:color w:val="000000"/>
                <w:sz w:val="24"/>
                <w:lang w:val="en-US" w:eastAsia="zh-CN"/>
              </w:rPr>
              <w:t>​</w:t>
            </w:r>
          </w:p>
          <w:p w14:paraId="49BE66F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default" w:ascii="宋体" w:hAnsi="宋体"/>
                <w:color w:val="000000"/>
                <w:sz w:val="24"/>
                <w:lang w:val="en-US" w:eastAsia="zh-CN"/>
              </w:rPr>
              <w:t xml:space="preserve">风险防控措施不全面但核心风险有应对，得 </w:t>
            </w:r>
            <w:r>
              <w:rPr>
                <w:rFonts w:hint="eastAsia" w:ascii="宋体" w:hAnsi="宋体"/>
                <w:color w:val="000000"/>
                <w:sz w:val="24"/>
                <w:lang w:val="en-US" w:eastAsia="zh-CN"/>
              </w:rPr>
              <w:t>3</w:t>
            </w:r>
            <w:r>
              <w:rPr>
                <w:rFonts w:hint="default" w:ascii="宋体" w:hAnsi="宋体"/>
                <w:color w:val="000000"/>
                <w:sz w:val="24"/>
                <w:lang w:val="en-US" w:eastAsia="zh-CN"/>
              </w:rPr>
              <w:t>分；​</w:t>
            </w:r>
          </w:p>
          <w:p w14:paraId="314A358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default" w:ascii="宋体" w:hAnsi="宋体"/>
                <w:color w:val="000000"/>
                <w:sz w:val="24"/>
                <w:lang w:val="en-US" w:eastAsia="zh-CN"/>
              </w:rPr>
              <w:t>未明确风险管控措施，得 0 分</w:t>
            </w:r>
          </w:p>
          <w:p w14:paraId="65E138A7">
            <w:pPr>
              <w:pStyle w:val="24"/>
              <w:ind w:left="0" w:leftChars="0" w:firstLine="0" w:firstLineChars="0"/>
              <w:rPr>
                <w:rFonts w:hint="default"/>
                <w:lang w:val="en-US" w:eastAsia="zh-CN"/>
              </w:rPr>
            </w:pP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numPr>
          <w:ilvl w:val="0"/>
          <w:numId w:val="1"/>
        </w:numPr>
        <w:tabs>
          <w:tab w:val="left" w:pos="709"/>
          <w:tab w:val="left" w:pos="993"/>
          <w:tab w:val="left" w:pos="1418"/>
          <w:tab w:val="clear" w:pos="0"/>
        </w:tabs>
        <w:ind w:left="0" w:leftChars="0" w:firstLine="0" w:firstLineChars="0"/>
        <w:rPr>
          <w:rFonts w:hint="eastAsia" w:ascii="宋体" w:hAnsi="宋体"/>
          <w:b/>
          <w:color w:val="000000"/>
          <w:kern w:val="0"/>
          <w:sz w:val="28"/>
          <w:szCs w:val="28"/>
        </w:rPr>
      </w:pPr>
      <w:r>
        <w:rPr>
          <w:rFonts w:hint="eastAsia" w:ascii="宋体" w:hAnsi="宋体"/>
          <w:b/>
          <w:color w:val="000000"/>
          <w:kern w:val="0"/>
          <w:sz w:val="28"/>
          <w:szCs w:val="28"/>
        </w:rPr>
        <w:t>采购内容：</w:t>
      </w:r>
    </w:p>
    <w:p w14:paraId="1E95E894">
      <w:pPr>
        <w:numPr>
          <w:ilvl w:val="0"/>
          <w:numId w:val="0"/>
        </w:numPr>
        <w:tabs>
          <w:tab w:val="left" w:pos="709"/>
          <w:tab w:val="left" w:pos="993"/>
          <w:tab w:val="left" w:pos="1418"/>
        </w:tabs>
        <w:ind w:leftChars="0"/>
        <w:rPr>
          <w:rFonts w:hint="default" w:ascii="宋体" w:hAnsi="宋体" w:eastAsia="宋体"/>
          <w:b/>
          <w:color w:val="000000"/>
          <w:kern w:val="0"/>
          <w:sz w:val="28"/>
          <w:szCs w:val="28"/>
          <w:lang w:val="en-US" w:eastAsia="zh-CN"/>
        </w:rPr>
      </w:pPr>
      <w:r>
        <w:rPr>
          <w:rFonts w:hint="eastAsia" w:ascii="宋体" w:hAnsi="宋体"/>
          <w:b/>
          <w:color w:val="000000"/>
          <w:kern w:val="0"/>
          <w:sz w:val="28"/>
          <w:szCs w:val="28"/>
          <w:lang w:val="en-US" w:eastAsia="zh-CN"/>
        </w:rPr>
        <w:t>1、服务项目</w:t>
      </w:r>
    </w:p>
    <w:tbl>
      <w:tblPr>
        <w:tblStyle w:val="19"/>
        <w:tblpPr w:leftFromText="180" w:rightFromText="180" w:vertAnchor="text" w:horzAnchor="page" w:tblpX="1697" w:tblpY="146"/>
        <w:tblOverlap w:val="never"/>
        <w:tblW w:w="8814" w:type="dxa"/>
        <w:tblInd w:w="0" w:type="dxa"/>
        <w:tblLayout w:type="fixed"/>
        <w:tblCellMar>
          <w:top w:w="15" w:type="dxa"/>
          <w:left w:w="15" w:type="dxa"/>
          <w:bottom w:w="15" w:type="dxa"/>
          <w:right w:w="15" w:type="dxa"/>
        </w:tblCellMar>
      </w:tblPr>
      <w:tblGrid>
        <w:gridCol w:w="3485"/>
        <w:gridCol w:w="5329"/>
      </w:tblGrid>
      <w:tr w14:paraId="3F7BF9EA">
        <w:tblPrEx>
          <w:tblCellMar>
            <w:top w:w="15" w:type="dxa"/>
            <w:left w:w="15" w:type="dxa"/>
            <w:bottom w:w="15" w:type="dxa"/>
            <w:right w:w="15" w:type="dxa"/>
          </w:tblCellMar>
        </w:tblPrEx>
        <w:trPr>
          <w:trHeight w:val="478" w:hRule="atLeast"/>
        </w:trPr>
        <w:tc>
          <w:tcPr>
            <w:tcW w:w="3485" w:type="dxa"/>
            <w:tcBorders>
              <w:top w:val="single" w:color="auto" w:sz="4" w:space="0"/>
              <w:left w:val="single" w:color="auto" w:sz="4" w:space="0"/>
              <w:bottom w:val="single" w:color="auto" w:sz="4" w:space="0"/>
              <w:right w:val="single" w:color="auto" w:sz="4" w:space="0"/>
            </w:tcBorders>
            <w:noWrap w:val="0"/>
            <w:vAlign w:val="top"/>
          </w:tcPr>
          <w:p w14:paraId="19E547CB">
            <w:pPr>
              <w:spacing w:line="360" w:lineRule="auto"/>
              <w:jc w:val="center"/>
              <w:rPr>
                <w:rFonts w:hint="eastAsia" w:ascii="仿宋" w:hAnsi="仿宋" w:eastAsia="仿宋" w:cs="仿宋"/>
              </w:rPr>
            </w:pPr>
            <w:r>
              <w:rPr>
                <w:rFonts w:hint="eastAsia" w:ascii="仿宋" w:hAnsi="仿宋" w:eastAsia="仿宋" w:cs="仿宋"/>
              </w:rPr>
              <w:t>服务项目</w:t>
            </w:r>
          </w:p>
        </w:tc>
        <w:tc>
          <w:tcPr>
            <w:tcW w:w="5329" w:type="dxa"/>
            <w:tcBorders>
              <w:top w:val="single" w:color="auto" w:sz="4" w:space="0"/>
              <w:left w:val="single" w:color="auto" w:sz="4" w:space="0"/>
              <w:bottom w:val="single" w:color="auto" w:sz="4" w:space="0"/>
              <w:right w:val="single" w:color="auto" w:sz="4" w:space="0"/>
            </w:tcBorders>
            <w:noWrap w:val="0"/>
            <w:vAlign w:val="top"/>
          </w:tcPr>
          <w:p w14:paraId="7DAE6638">
            <w:pPr>
              <w:spacing w:line="360" w:lineRule="auto"/>
              <w:jc w:val="center"/>
              <w:rPr>
                <w:rFonts w:hint="eastAsia" w:ascii="仿宋" w:hAnsi="仿宋" w:eastAsia="仿宋" w:cs="仿宋"/>
              </w:rPr>
            </w:pPr>
            <w:r>
              <w:rPr>
                <w:rFonts w:hint="eastAsia" w:ascii="仿宋" w:hAnsi="仿宋" w:eastAsia="仿宋" w:cs="仿宋"/>
              </w:rPr>
              <w:t>详细说明</w:t>
            </w:r>
          </w:p>
        </w:tc>
      </w:tr>
      <w:tr w14:paraId="31FC2CBD">
        <w:tblPrEx>
          <w:tblCellMar>
            <w:top w:w="15" w:type="dxa"/>
            <w:left w:w="15" w:type="dxa"/>
            <w:bottom w:w="15" w:type="dxa"/>
            <w:right w:w="15" w:type="dxa"/>
          </w:tblCellMar>
        </w:tblPrEx>
        <w:trPr>
          <w:trHeight w:val="478" w:hRule="atLeast"/>
        </w:trPr>
        <w:tc>
          <w:tcPr>
            <w:tcW w:w="3485" w:type="dxa"/>
            <w:tcBorders>
              <w:top w:val="single" w:color="auto" w:sz="4" w:space="0"/>
              <w:left w:val="single" w:color="auto" w:sz="4" w:space="0"/>
              <w:bottom w:val="single" w:color="auto" w:sz="4" w:space="0"/>
              <w:right w:val="single" w:color="auto" w:sz="4" w:space="0"/>
            </w:tcBorders>
            <w:noWrap w:val="0"/>
            <w:vAlign w:val="top"/>
          </w:tcPr>
          <w:p w14:paraId="64637700">
            <w:pPr>
              <w:spacing w:line="360" w:lineRule="auto"/>
              <w:jc w:val="center"/>
              <w:rPr>
                <w:rFonts w:hint="eastAsia" w:ascii="仿宋" w:hAnsi="仿宋" w:eastAsia="仿宋" w:cs="仿宋"/>
                <w:b/>
                <w:bCs/>
                <w:sz w:val="21"/>
                <w:szCs w:val="21"/>
              </w:rPr>
            </w:pPr>
            <w:r>
              <w:rPr>
                <w:rFonts w:hint="eastAsia" w:ascii="仿宋" w:hAnsi="仿宋" w:eastAsia="仿宋" w:cs="仿宋"/>
                <w:b/>
                <w:bCs/>
                <w:sz w:val="21"/>
                <w:szCs w:val="21"/>
              </w:rPr>
              <w:t>产品维保服务</w:t>
            </w:r>
          </w:p>
        </w:tc>
        <w:tc>
          <w:tcPr>
            <w:tcW w:w="5329" w:type="dxa"/>
            <w:tcBorders>
              <w:top w:val="single" w:color="auto" w:sz="4" w:space="0"/>
              <w:left w:val="single" w:color="auto" w:sz="4" w:space="0"/>
              <w:bottom w:val="single" w:color="auto" w:sz="4" w:space="0"/>
              <w:right w:val="single" w:color="auto" w:sz="4" w:space="0"/>
            </w:tcBorders>
            <w:noWrap w:val="0"/>
            <w:vAlign w:val="top"/>
          </w:tcPr>
          <w:p w14:paraId="0F2CBCD9">
            <w:pPr>
              <w:spacing w:line="360" w:lineRule="auto"/>
              <w:jc w:val="left"/>
              <w:rPr>
                <w:rFonts w:hint="default" w:ascii="仿宋" w:hAnsi="仿宋" w:eastAsia="仿宋" w:cs="仿宋"/>
                <w:sz w:val="21"/>
                <w:szCs w:val="21"/>
                <w:lang w:val="en-US" w:eastAsia="zh-CN"/>
              </w:rPr>
            </w:pPr>
            <w:r>
              <w:rPr>
                <w:rFonts w:hint="eastAsia" w:ascii="仿宋" w:hAnsi="仿宋" w:eastAsia="仿宋" w:cs="仿宋"/>
                <w:sz w:val="21"/>
                <w:szCs w:val="21"/>
              </w:rPr>
              <w:t>产品</w:t>
            </w:r>
            <w:r>
              <w:rPr>
                <w:rFonts w:hint="eastAsia" w:ascii="仿宋" w:hAnsi="仿宋" w:eastAsia="仿宋" w:cs="仿宋"/>
                <w:sz w:val="21"/>
                <w:szCs w:val="21"/>
                <w:lang w:val="en-US" w:eastAsia="zh-CN"/>
              </w:rPr>
              <w:t>三年</w:t>
            </w:r>
            <w:r>
              <w:rPr>
                <w:rFonts w:hint="eastAsia" w:ascii="仿宋" w:hAnsi="仿宋" w:eastAsia="仿宋" w:cs="仿宋"/>
                <w:sz w:val="21"/>
                <w:szCs w:val="21"/>
              </w:rPr>
              <w:t>维保服务期内提供</w:t>
            </w:r>
            <w:r>
              <w:rPr>
                <w:rFonts w:hint="eastAsia" w:ascii="仿宋" w:hAnsi="仿宋" w:eastAsia="仿宋" w:cs="仿宋"/>
                <w:sz w:val="21"/>
                <w:szCs w:val="21"/>
                <w:lang w:val="en-US" w:eastAsia="zh-CN"/>
              </w:rPr>
              <w:t>原厂保修服务</w:t>
            </w:r>
          </w:p>
        </w:tc>
      </w:tr>
      <w:tr w14:paraId="40815561">
        <w:tblPrEx>
          <w:tblCellMar>
            <w:top w:w="15" w:type="dxa"/>
            <w:left w:w="15" w:type="dxa"/>
            <w:bottom w:w="15" w:type="dxa"/>
            <w:right w:w="15" w:type="dxa"/>
          </w:tblCellMar>
        </w:tblPrEx>
        <w:trPr>
          <w:trHeight w:val="478" w:hRule="atLeast"/>
        </w:trPr>
        <w:tc>
          <w:tcPr>
            <w:tcW w:w="3485" w:type="dxa"/>
            <w:tcBorders>
              <w:top w:val="single" w:color="auto" w:sz="4" w:space="0"/>
              <w:left w:val="single" w:color="auto" w:sz="4" w:space="0"/>
              <w:bottom w:val="single" w:color="auto" w:sz="4" w:space="0"/>
              <w:right w:val="single" w:color="auto" w:sz="4" w:space="0"/>
            </w:tcBorders>
            <w:noWrap w:val="0"/>
            <w:vAlign w:val="center"/>
          </w:tcPr>
          <w:p w14:paraId="2E5A8A81">
            <w:pPr>
              <w:spacing w:line="360" w:lineRule="auto"/>
              <w:jc w:val="center"/>
              <w:rPr>
                <w:rFonts w:hint="eastAsia" w:ascii="仿宋" w:hAnsi="仿宋" w:eastAsia="仿宋" w:cs="仿宋"/>
                <w:b/>
                <w:bCs/>
                <w:sz w:val="21"/>
                <w:szCs w:val="21"/>
              </w:rPr>
            </w:pPr>
            <w:r>
              <w:rPr>
                <w:rFonts w:hint="eastAsia" w:ascii="仿宋" w:hAnsi="仿宋" w:eastAsia="仿宋" w:cs="仿宋"/>
                <w:b/>
                <w:bCs/>
                <w:sz w:val="21"/>
                <w:szCs w:val="21"/>
              </w:rPr>
              <w:t>软件升级服务</w:t>
            </w:r>
          </w:p>
        </w:tc>
        <w:tc>
          <w:tcPr>
            <w:tcW w:w="5329" w:type="dxa"/>
            <w:tcBorders>
              <w:top w:val="single" w:color="auto" w:sz="4" w:space="0"/>
              <w:left w:val="single" w:color="auto" w:sz="4" w:space="0"/>
              <w:bottom w:val="single" w:color="auto" w:sz="4" w:space="0"/>
              <w:right w:val="single" w:color="auto" w:sz="4" w:space="0"/>
            </w:tcBorders>
            <w:noWrap w:val="0"/>
            <w:vAlign w:val="top"/>
          </w:tcPr>
          <w:p w14:paraId="27371276">
            <w:pPr>
              <w:spacing w:line="360" w:lineRule="auto"/>
              <w:jc w:val="left"/>
              <w:rPr>
                <w:rFonts w:hint="eastAsia" w:ascii="仿宋" w:hAnsi="仿宋" w:eastAsia="仿宋" w:cs="仿宋"/>
                <w:sz w:val="21"/>
                <w:szCs w:val="21"/>
              </w:rPr>
            </w:pPr>
            <w:r>
              <w:rPr>
                <w:rFonts w:hint="eastAsia" w:ascii="仿宋" w:hAnsi="仿宋" w:eastAsia="仿宋" w:cs="仿宋"/>
                <w:sz w:val="21"/>
                <w:szCs w:val="21"/>
              </w:rPr>
              <w:t>提供维护性软件版本升级及支持服务（不含新版本必要的硬件更新费用）</w:t>
            </w:r>
          </w:p>
        </w:tc>
      </w:tr>
      <w:tr w14:paraId="7B46D68B">
        <w:tblPrEx>
          <w:tblCellMar>
            <w:top w:w="15" w:type="dxa"/>
            <w:left w:w="15" w:type="dxa"/>
            <w:bottom w:w="15" w:type="dxa"/>
            <w:right w:w="15" w:type="dxa"/>
          </w:tblCellMar>
        </w:tblPrEx>
        <w:trPr>
          <w:trHeight w:val="478" w:hRule="atLeast"/>
        </w:trPr>
        <w:tc>
          <w:tcPr>
            <w:tcW w:w="3485" w:type="dxa"/>
            <w:tcBorders>
              <w:top w:val="single" w:color="auto" w:sz="4" w:space="0"/>
              <w:left w:val="single" w:color="auto" w:sz="4" w:space="0"/>
              <w:bottom w:val="single" w:color="auto" w:sz="4" w:space="0"/>
              <w:right w:val="single" w:color="auto" w:sz="4" w:space="0"/>
            </w:tcBorders>
            <w:noWrap w:val="0"/>
            <w:vAlign w:val="center"/>
          </w:tcPr>
          <w:p w14:paraId="0C942830">
            <w:pPr>
              <w:spacing w:line="360" w:lineRule="auto"/>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配套硬件支持服务</w:t>
            </w:r>
          </w:p>
        </w:tc>
        <w:tc>
          <w:tcPr>
            <w:tcW w:w="5329" w:type="dxa"/>
            <w:tcBorders>
              <w:top w:val="single" w:color="auto" w:sz="4" w:space="0"/>
              <w:left w:val="single" w:color="auto" w:sz="4" w:space="0"/>
              <w:bottom w:val="single" w:color="auto" w:sz="4" w:space="0"/>
              <w:right w:val="single" w:color="auto" w:sz="4" w:space="0"/>
            </w:tcBorders>
            <w:noWrap w:val="0"/>
            <w:vAlign w:val="top"/>
          </w:tcPr>
          <w:p w14:paraId="5A82B801">
            <w:pPr>
              <w:spacing w:line="360" w:lineRule="auto"/>
              <w:jc w:val="left"/>
              <w:rPr>
                <w:rFonts w:hint="eastAsia" w:ascii="仿宋" w:hAnsi="仿宋" w:eastAsia="仿宋" w:cs="仿宋"/>
                <w:sz w:val="21"/>
                <w:szCs w:val="21"/>
              </w:rPr>
            </w:pPr>
            <w:r>
              <w:rPr>
                <w:rFonts w:hint="eastAsia" w:ascii="仿宋" w:hAnsi="仿宋" w:eastAsia="仿宋" w:cs="仿宋"/>
                <w:sz w:val="21"/>
                <w:szCs w:val="21"/>
              </w:rPr>
              <w:t>SSL性能参数：最大理论加密流量（Mbps）：300，最大理论建议并发用户数：400，最大理论https并发连接数（个）：15000，理论https新建连接数（个/秒）：60；IPSEC性能参数：加密最大流量（Mbps）：85，理论并发隧道数（Tunnel）：300。硬件参数：规格：1U，内存大小：16G，硬盘容量：128G SSD，电源：单电源，接口：8千兆电口+2万兆光口SFP+。aTrust-1000-B1030M-VX标准产品,每台含：1套* 零信任访问控制系统软件V2.0;</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50套* 零信任接入授权（授权买断）;3年* 维保服务（标准版）</w:t>
            </w:r>
          </w:p>
        </w:tc>
      </w:tr>
      <w:tr w14:paraId="14E95CE1">
        <w:tblPrEx>
          <w:tblCellMar>
            <w:top w:w="15" w:type="dxa"/>
            <w:left w:w="15" w:type="dxa"/>
            <w:bottom w:w="15" w:type="dxa"/>
            <w:right w:w="15" w:type="dxa"/>
          </w:tblCellMar>
        </w:tblPrEx>
        <w:trPr>
          <w:trHeight w:val="478" w:hRule="atLeast"/>
        </w:trPr>
        <w:tc>
          <w:tcPr>
            <w:tcW w:w="3485" w:type="dxa"/>
            <w:tcBorders>
              <w:top w:val="single" w:color="auto" w:sz="4" w:space="0"/>
              <w:left w:val="single" w:color="auto" w:sz="4" w:space="0"/>
              <w:bottom w:val="single" w:color="auto" w:sz="4" w:space="0"/>
              <w:right w:val="single" w:color="auto" w:sz="4" w:space="0"/>
            </w:tcBorders>
            <w:noWrap w:val="0"/>
            <w:vAlign w:val="center"/>
          </w:tcPr>
          <w:p w14:paraId="0843AC77">
            <w:pPr>
              <w:spacing w:line="360" w:lineRule="auto"/>
              <w:jc w:val="center"/>
              <w:rPr>
                <w:rFonts w:hint="eastAsia" w:ascii="仿宋" w:hAnsi="仿宋" w:eastAsia="仿宋" w:cs="仿宋"/>
                <w:b/>
                <w:bCs/>
                <w:sz w:val="21"/>
                <w:szCs w:val="21"/>
              </w:rPr>
            </w:pPr>
            <w:r>
              <w:rPr>
                <w:rFonts w:hint="eastAsia" w:ascii="仿宋" w:hAnsi="仿宋" w:eastAsia="仿宋" w:cs="仿宋"/>
                <w:b/>
                <w:bCs/>
                <w:sz w:val="21"/>
                <w:szCs w:val="21"/>
              </w:rPr>
              <w:t>远程技术支持服务</w:t>
            </w:r>
          </w:p>
        </w:tc>
        <w:tc>
          <w:tcPr>
            <w:tcW w:w="5329" w:type="dxa"/>
            <w:tcBorders>
              <w:top w:val="single" w:color="auto" w:sz="4" w:space="0"/>
              <w:left w:val="single" w:color="auto" w:sz="4" w:space="0"/>
              <w:bottom w:val="single" w:color="auto" w:sz="4" w:space="0"/>
              <w:right w:val="single" w:color="auto" w:sz="4" w:space="0"/>
            </w:tcBorders>
            <w:noWrap w:val="0"/>
            <w:vAlign w:val="top"/>
          </w:tcPr>
          <w:p w14:paraId="7B95A353">
            <w:pPr>
              <w:spacing w:line="360" w:lineRule="auto"/>
              <w:jc w:val="left"/>
              <w:rPr>
                <w:rFonts w:hint="eastAsia" w:ascii="仿宋" w:hAnsi="仿宋" w:eastAsia="仿宋" w:cs="仿宋"/>
                <w:sz w:val="21"/>
                <w:szCs w:val="21"/>
              </w:rPr>
            </w:pPr>
            <w:r>
              <w:rPr>
                <w:rFonts w:hint="eastAsia" w:ascii="仿宋" w:hAnsi="仿宋" w:eastAsia="仿宋" w:cs="仿宋"/>
                <w:sz w:val="21"/>
                <w:szCs w:val="21"/>
              </w:rPr>
              <w:t>技术支持服务为用户提供7*24小时无间断的远程问题咨询及处理、维护性软件版本支持、在线平台支持及现场故障支持服务等内容，有效支持用户技术人员解决业务系统问题，保证业务持续运行。</w:t>
            </w:r>
          </w:p>
        </w:tc>
      </w:tr>
      <w:tr w14:paraId="4EF95013">
        <w:tblPrEx>
          <w:tblCellMar>
            <w:top w:w="15" w:type="dxa"/>
            <w:left w:w="15" w:type="dxa"/>
            <w:bottom w:w="15" w:type="dxa"/>
            <w:right w:w="15" w:type="dxa"/>
          </w:tblCellMar>
        </w:tblPrEx>
        <w:trPr>
          <w:trHeight w:val="886" w:hRule="atLeast"/>
        </w:trPr>
        <w:tc>
          <w:tcPr>
            <w:tcW w:w="3485" w:type="dxa"/>
            <w:tcBorders>
              <w:top w:val="single" w:color="auto" w:sz="4" w:space="0"/>
              <w:left w:val="single" w:color="auto" w:sz="4" w:space="0"/>
              <w:bottom w:val="single" w:color="auto" w:sz="4" w:space="0"/>
              <w:right w:val="single" w:color="auto" w:sz="4" w:space="0"/>
            </w:tcBorders>
            <w:noWrap w:val="0"/>
            <w:vAlign w:val="center"/>
          </w:tcPr>
          <w:p w14:paraId="462D393D">
            <w:pPr>
              <w:spacing w:line="360" w:lineRule="auto"/>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其它</w:t>
            </w:r>
          </w:p>
        </w:tc>
        <w:tc>
          <w:tcPr>
            <w:tcW w:w="5329" w:type="dxa"/>
            <w:tcBorders>
              <w:top w:val="single" w:color="auto" w:sz="4" w:space="0"/>
              <w:left w:val="single" w:color="auto" w:sz="4" w:space="0"/>
              <w:bottom w:val="single" w:color="auto" w:sz="4" w:space="0"/>
              <w:right w:val="single" w:color="auto" w:sz="4" w:space="0"/>
            </w:tcBorders>
            <w:noWrap w:val="0"/>
            <w:vAlign w:val="center"/>
          </w:tcPr>
          <w:p w14:paraId="6891885A">
            <w:pPr>
              <w:spacing w:line="360" w:lineRule="auto"/>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在服务有效期内，原厂工程师可给客户按季度进行上门巡检，处理紧急问题等等</w:t>
            </w:r>
          </w:p>
        </w:tc>
      </w:tr>
    </w:tbl>
    <w:p w14:paraId="1A0A3019">
      <w:pPr>
        <w:widowControl w:val="0"/>
        <w:numPr>
          <w:ilvl w:val="0"/>
          <w:numId w:val="2"/>
        </w:numPr>
        <w:tabs>
          <w:tab w:val="left" w:pos="709"/>
          <w:tab w:val="left" w:pos="993"/>
          <w:tab w:val="left" w:pos="1418"/>
        </w:tabs>
        <w:jc w:val="both"/>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已有服务设备信息</w:t>
      </w:r>
    </w:p>
    <w:tbl>
      <w:tblPr>
        <w:tblStyle w:val="20"/>
        <w:tblW w:w="8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1734"/>
        <w:gridCol w:w="2075"/>
        <w:gridCol w:w="1396"/>
        <w:gridCol w:w="1807"/>
      </w:tblGrid>
      <w:tr w14:paraId="1049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noWrap w:val="0"/>
            <w:vAlign w:val="center"/>
          </w:tcPr>
          <w:p w14:paraId="793478A1">
            <w:pPr>
              <w:numPr>
                <w:ilvl w:val="0"/>
                <w:numId w:val="0"/>
              </w:numPr>
              <w:spacing w:before="0" w:beforeAutospacing="0" w:after="0" w:afterAutospacing="0"/>
              <w:ind w:firstLine="281" w:firstLineChars="100"/>
              <w:rPr>
                <w:rFonts w:hint="eastAsia" w:ascii="仿宋" w:hAnsi="仿宋" w:eastAsia="仿宋" w:cs="仿宋"/>
                <w:b/>
                <w:bCs/>
                <w:color w:val="333333"/>
                <w:sz w:val="28"/>
                <w:szCs w:val="28"/>
                <w:vertAlign w:val="baseline"/>
                <w:lang w:val="en-US" w:eastAsia="zh-CN"/>
              </w:rPr>
            </w:pPr>
            <w:r>
              <w:rPr>
                <w:rFonts w:hint="eastAsia" w:ascii="仿宋" w:hAnsi="仿宋" w:eastAsia="仿宋" w:cs="仿宋"/>
                <w:b/>
                <w:bCs/>
                <w:color w:val="333333"/>
                <w:sz w:val="28"/>
                <w:szCs w:val="28"/>
                <w:vertAlign w:val="baseline"/>
                <w:lang w:val="en-US" w:eastAsia="zh-CN"/>
              </w:rPr>
              <w:t>序号</w:t>
            </w:r>
          </w:p>
        </w:tc>
        <w:tc>
          <w:tcPr>
            <w:tcW w:w="1419" w:type="dxa"/>
            <w:noWrap w:val="0"/>
            <w:vAlign w:val="center"/>
          </w:tcPr>
          <w:p w14:paraId="2CAA7F4D">
            <w:pPr>
              <w:numPr>
                <w:ilvl w:val="0"/>
                <w:numId w:val="0"/>
              </w:numPr>
              <w:spacing w:before="0" w:beforeAutospacing="0" w:after="0" w:afterAutospacing="0"/>
              <w:rPr>
                <w:rFonts w:hint="eastAsia" w:ascii="仿宋" w:hAnsi="仿宋" w:eastAsia="仿宋" w:cs="仿宋"/>
                <w:b/>
                <w:bCs/>
                <w:color w:val="333333"/>
                <w:sz w:val="28"/>
                <w:szCs w:val="28"/>
                <w:vertAlign w:val="baseline"/>
                <w:lang w:val="en-US" w:eastAsia="zh-CN"/>
              </w:rPr>
            </w:pPr>
            <w:r>
              <w:rPr>
                <w:rFonts w:hint="eastAsia" w:ascii="仿宋" w:hAnsi="仿宋" w:eastAsia="仿宋" w:cs="仿宋"/>
                <w:b/>
                <w:bCs/>
                <w:color w:val="333333"/>
                <w:sz w:val="28"/>
                <w:szCs w:val="28"/>
                <w:vertAlign w:val="baseline"/>
                <w:lang w:val="en-US" w:eastAsia="zh-CN"/>
              </w:rPr>
              <w:t>设备品牌</w:t>
            </w:r>
          </w:p>
        </w:tc>
        <w:tc>
          <w:tcPr>
            <w:tcW w:w="1698" w:type="dxa"/>
            <w:noWrap w:val="0"/>
            <w:vAlign w:val="center"/>
          </w:tcPr>
          <w:p w14:paraId="341C765D">
            <w:pPr>
              <w:numPr>
                <w:ilvl w:val="0"/>
                <w:numId w:val="0"/>
              </w:numPr>
              <w:spacing w:before="0" w:beforeAutospacing="0" w:after="0" w:afterAutospacing="0"/>
              <w:ind w:firstLine="562" w:firstLineChars="200"/>
              <w:rPr>
                <w:rFonts w:hint="eastAsia" w:ascii="仿宋" w:hAnsi="仿宋" w:eastAsia="仿宋" w:cs="仿宋"/>
                <w:b/>
                <w:bCs/>
                <w:color w:val="333333"/>
                <w:sz w:val="28"/>
                <w:szCs w:val="28"/>
                <w:vertAlign w:val="baseline"/>
                <w:lang w:val="en-US" w:eastAsia="zh-CN"/>
              </w:rPr>
            </w:pPr>
            <w:r>
              <w:rPr>
                <w:rFonts w:hint="eastAsia" w:ascii="仿宋" w:hAnsi="仿宋" w:eastAsia="仿宋" w:cs="仿宋"/>
                <w:b/>
                <w:bCs/>
                <w:color w:val="333333"/>
                <w:sz w:val="28"/>
                <w:szCs w:val="28"/>
                <w:vertAlign w:val="baseline"/>
                <w:lang w:val="en-US" w:eastAsia="zh-CN"/>
              </w:rPr>
              <w:t>型号</w:t>
            </w:r>
          </w:p>
        </w:tc>
        <w:tc>
          <w:tcPr>
            <w:tcW w:w="1142" w:type="dxa"/>
            <w:noWrap w:val="0"/>
            <w:vAlign w:val="center"/>
          </w:tcPr>
          <w:p w14:paraId="13D9096C">
            <w:pPr>
              <w:numPr>
                <w:ilvl w:val="0"/>
                <w:numId w:val="0"/>
              </w:numPr>
              <w:spacing w:before="0" w:beforeAutospacing="0" w:after="0" w:afterAutospacing="0"/>
              <w:rPr>
                <w:rFonts w:hint="eastAsia" w:ascii="仿宋" w:hAnsi="仿宋" w:eastAsia="仿宋" w:cs="仿宋"/>
                <w:b/>
                <w:bCs/>
                <w:color w:val="333333"/>
                <w:sz w:val="28"/>
                <w:szCs w:val="28"/>
                <w:vertAlign w:val="baseline"/>
                <w:lang w:val="en-US" w:eastAsia="zh-CN"/>
              </w:rPr>
            </w:pPr>
            <w:r>
              <w:rPr>
                <w:rFonts w:hint="eastAsia" w:ascii="仿宋" w:hAnsi="仿宋" w:eastAsia="仿宋" w:cs="仿宋"/>
                <w:b/>
                <w:bCs/>
                <w:color w:val="333333"/>
                <w:sz w:val="28"/>
                <w:szCs w:val="28"/>
                <w:vertAlign w:val="baseline"/>
                <w:lang w:val="en-US" w:eastAsia="zh-CN"/>
              </w:rPr>
              <w:t>数量</w:t>
            </w:r>
          </w:p>
        </w:tc>
        <w:tc>
          <w:tcPr>
            <w:tcW w:w="1478" w:type="dxa"/>
            <w:noWrap w:val="0"/>
            <w:vAlign w:val="center"/>
          </w:tcPr>
          <w:p w14:paraId="4F4CCA7F">
            <w:pPr>
              <w:numPr>
                <w:ilvl w:val="0"/>
                <w:numId w:val="0"/>
              </w:numPr>
              <w:spacing w:before="0" w:beforeAutospacing="0" w:after="0" w:afterAutospacing="0"/>
              <w:rPr>
                <w:rFonts w:hint="eastAsia" w:ascii="仿宋" w:hAnsi="仿宋" w:eastAsia="仿宋" w:cs="仿宋"/>
                <w:b/>
                <w:bCs/>
                <w:color w:val="333333"/>
                <w:sz w:val="28"/>
                <w:szCs w:val="28"/>
                <w:vertAlign w:val="baseline"/>
                <w:lang w:val="en-US" w:eastAsia="zh-CN"/>
              </w:rPr>
            </w:pPr>
            <w:r>
              <w:rPr>
                <w:rFonts w:hint="eastAsia" w:ascii="仿宋" w:hAnsi="仿宋" w:eastAsia="仿宋" w:cs="仿宋"/>
                <w:b/>
                <w:bCs/>
                <w:color w:val="333333"/>
                <w:sz w:val="28"/>
                <w:szCs w:val="28"/>
                <w:vertAlign w:val="baseline"/>
                <w:lang w:val="en-US" w:eastAsia="zh-CN"/>
              </w:rPr>
              <w:t>维保时间</w:t>
            </w:r>
          </w:p>
        </w:tc>
      </w:tr>
      <w:tr w14:paraId="20C4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noWrap w:val="0"/>
            <w:vAlign w:val="center"/>
          </w:tcPr>
          <w:p w14:paraId="42566E78">
            <w:pPr>
              <w:numPr>
                <w:ilvl w:val="0"/>
                <w:numId w:val="0"/>
              </w:numPr>
              <w:spacing w:before="0" w:beforeAutospacing="0" w:after="0" w:afterAutospacing="0"/>
              <w:ind w:firstLine="480" w:firstLineChars="200"/>
              <w:rPr>
                <w:rFonts w:hint="eastAsia" w:ascii="仿宋" w:hAnsi="仿宋" w:eastAsia="仿宋" w:cs="仿宋"/>
                <w:color w:val="333333"/>
                <w:sz w:val="24"/>
                <w:szCs w:val="24"/>
                <w:vertAlign w:val="baseline"/>
                <w:lang w:val="en-US" w:eastAsia="zh-CN"/>
              </w:rPr>
            </w:pPr>
            <w:r>
              <w:rPr>
                <w:rFonts w:hint="eastAsia" w:ascii="仿宋" w:hAnsi="仿宋" w:eastAsia="仿宋" w:cs="仿宋"/>
                <w:color w:val="333333"/>
                <w:sz w:val="24"/>
                <w:szCs w:val="24"/>
                <w:vertAlign w:val="baseline"/>
                <w:lang w:val="en-US" w:eastAsia="zh-CN"/>
              </w:rPr>
              <w:t>1</w:t>
            </w:r>
          </w:p>
        </w:tc>
        <w:tc>
          <w:tcPr>
            <w:tcW w:w="1419" w:type="dxa"/>
            <w:noWrap w:val="0"/>
            <w:vAlign w:val="center"/>
          </w:tcPr>
          <w:p w14:paraId="14B95177">
            <w:pPr>
              <w:numPr>
                <w:ilvl w:val="0"/>
                <w:numId w:val="0"/>
              </w:numPr>
              <w:spacing w:before="0" w:beforeAutospacing="0" w:after="0" w:afterAutospacing="0"/>
              <w:ind w:firstLine="240" w:firstLineChars="100"/>
              <w:rPr>
                <w:rFonts w:hint="eastAsia" w:ascii="仿宋" w:hAnsi="仿宋" w:eastAsia="仿宋" w:cs="仿宋"/>
                <w:color w:val="333333"/>
                <w:sz w:val="24"/>
                <w:szCs w:val="24"/>
                <w:vertAlign w:val="baseline"/>
                <w:lang w:val="en-US" w:eastAsia="zh-CN"/>
              </w:rPr>
            </w:pPr>
            <w:r>
              <w:rPr>
                <w:rFonts w:hint="eastAsia" w:ascii="仿宋" w:hAnsi="仿宋" w:eastAsia="仿宋" w:cs="仿宋"/>
                <w:color w:val="333333"/>
                <w:sz w:val="24"/>
                <w:szCs w:val="24"/>
                <w:vertAlign w:val="baseline"/>
                <w:lang w:val="en-US" w:eastAsia="zh-CN"/>
              </w:rPr>
              <w:t>深信服</w:t>
            </w:r>
          </w:p>
        </w:tc>
        <w:tc>
          <w:tcPr>
            <w:tcW w:w="1698" w:type="dxa"/>
            <w:noWrap w:val="0"/>
            <w:vAlign w:val="center"/>
          </w:tcPr>
          <w:p w14:paraId="29E3492A">
            <w:pPr>
              <w:numPr>
                <w:ilvl w:val="0"/>
                <w:numId w:val="0"/>
              </w:numPr>
              <w:spacing w:before="0" w:beforeAutospacing="0" w:after="0" w:afterAutospacing="0"/>
              <w:rPr>
                <w:rFonts w:hint="eastAsia" w:ascii="仿宋" w:hAnsi="仿宋" w:eastAsia="仿宋" w:cs="仿宋"/>
                <w:color w:val="333333"/>
                <w:sz w:val="24"/>
                <w:szCs w:val="24"/>
                <w:vertAlign w:val="baseline"/>
                <w:lang w:val="en-US" w:eastAsia="zh-CN"/>
              </w:rPr>
            </w:pPr>
            <w:r>
              <w:rPr>
                <w:rFonts w:hint="eastAsia" w:ascii="仿宋" w:hAnsi="仿宋" w:eastAsia="仿宋" w:cs="仿宋"/>
                <w:color w:val="333333"/>
                <w:sz w:val="24"/>
                <w:szCs w:val="24"/>
                <w:vertAlign w:val="baseline"/>
                <w:lang w:val="en-US" w:eastAsia="zh-CN"/>
              </w:rPr>
              <w:t>VPN-1000 V7.0</w:t>
            </w:r>
          </w:p>
        </w:tc>
        <w:tc>
          <w:tcPr>
            <w:tcW w:w="1142" w:type="dxa"/>
            <w:noWrap w:val="0"/>
            <w:vAlign w:val="center"/>
          </w:tcPr>
          <w:p w14:paraId="44142AD8">
            <w:pPr>
              <w:numPr>
                <w:ilvl w:val="0"/>
                <w:numId w:val="0"/>
              </w:numPr>
              <w:spacing w:before="0" w:beforeAutospacing="0" w:after="0" w:afterAutospacing="0"/>
              <w:rPr>
                <w:rFonts w:hint="eastAsia" w:ascii="仿宋" w:hAnsi="仿宋" w:eastAsia="仿宋" w:cs="仿宋"/>
                <w:color w:val="333333"/>
                <w:sz w:val="24"/>
                <w:szCs w:val="24"/>
                <w:vertAlign w:val="baseline"/>
                <w:lang w:val="en-US" w:eastAsia="zh-CN"/>
              </w:rPr>
            </w:pPr>
            <w:r>
              <w:rPr>
                <w:rFonts w:hint="eastAsia" w:ascii="仿宋" w:hAnsi="仿宋" w:eastAsia="仿宋" w:cs="仿宋"/>
                <w:color w:val="333333"/>
                <w:sz w:val="24"/>
                <w:szCs w:val="24"/>
                <w:vertAlign w:val="baseline"/>
                <w:lang w:val="en-US" w:eastAsia="zh-CN"/>
              </w:rPr>
              <w:t>2台</w:t>
            </w:r>
          </w:p>
        </w:tc>
        <w:tc>
          <w:tcPr>
            <w:tcW w:w="1478" w:type="dxa"/>
            <w:noWrap w:val="0"/>
            <w:vAlign w:val="center"/>
          </w:tcPr>
          <w:p w14:paraId="7D0F0B1F">
            <w:pPr>
              <w:numPr>
                <w:ilvl w:val="0"/>
                <w:numId w:val="0"/>
              </w:numPr>
              <w:spacing w:before="0" w:beforeAutospacing="0" w:after="0" w:afterAutospacing="0"/>
              <w:ind w:firstLine="240" w:firstLineChars="100"/>
              <w:rPr>
                <w:rFonts w:hint="eastAsia" w:ascii="仿宋" w:hAnsi="仿宋" w:eastAsia="仿宋" w:cs="仿宋"/>
                <w:color w:val="333333"/>
                <w:sz w:val="24"/>
                <w:szCs w:val="24"/>
                <w:vertAlign w:val="baseline"/>
                <w:lang w:val="en-US" w:eastAsia="zh-CN"/>
              </w:rPr>
            </w:pPr>
            <w:r>
              <w:rPr>
                <w:rFonts w:hint="eastAsia" w:ascii="仿宋" w:hAnsi="仿宋" w:eastAsia="仿宋" w:cs="仿宋"/>
                <w:color w:val="333333"/>
                <w:sz w:val="24"/>
                <w:szCs w:val="24"/>
                <w:vertAlign w:val="baseline"/>
                <w:lang w:val="en-US" w:eastAsia="zh-CN"/>
              </w:rPr>
              <w:t>3年</w:t>
            </w:r>
          </w:p>
        </w:tc>
      </w:tr>
    </w:tbl>
    <w:p w14:paraId="0B3961A2">
      <w:pPr>
        <w:numPr>
          <w:ilvl w:val="0"/>
          <w:numId w:val="1"/>
        </w:numPr>
        <w:tabs>
          <w:tab w:val="left" w:pos="709"/>
          <w:tab w:val="left" w:pos="993"/>
          <w:tab w:val="left" w:pos="1418"/>
          <w:tab w:val="clear" w:pos="0"/>
        </w:tabs>
        <w:ind w:left="0" w:leftChars="0" w:firstLine="0" w:firstLineChars="0"/>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验收标准：</w:t>
      </w:r>
    </w:p>
    <w:p w14:paraId="17D926B2">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2DB98737">
      <w:pPr>
        <w:numPr>
          <w:ilvl w:val="0"/>
          <w:numId w:val="1"/>
        </w:numPr>
        <w:tabs>
          <w:tab w:val="left" w:pos="709"/>
          <w:tab w:val="left" w:pos="993"/>
          <w:tab w:val="left" w:pos="1418"/>
          <w:tab w:val="clear" w:pos="0"/>
        </w:tabs>
        <w:ind w:left="0" w:leftChars="0" w:firstLine="0" w:firstLineChars="0"/>
        <w:rPr>
          <w:rFonts w:hint="default" w:ascii="宋体" w:hAnsi="宋体"/>
          <w:b/>
          <w:color w:val="000000"/>
          <w:kern w:val="0"/>
          <w:sz w:val="28"/>
          <w:szCs w:val="28"/>
          <w:lang w:val="en-US" w:eastAsia="zh-CN"/>
        </w:rPr>
      </w:pPr>
      <w:r>
        <w:rPr>
          <w:rFonts w:hint="eastAsia" w:ascii="宋体" w:hAnsi="宋体"/>
          <w:b/>
          <w:color w:val="000000"/>
          <w:kern w:val="0"/>
          <w:sz w:val="28"/>
          <w:szCs w:val="28"/>
          <w:lang w:val="en-US" w:eastAsia="zh-CN"/>
        </w:rPr>
        <w:t>服务地点：江苏信息职业技术学院图书馆六楼机房</w:t>
      </w:r>
    </w:p>
    <w:p w14:paraId="1CC4ABC2">
      <w:pPr>
        <w:numPr>
          <w:ilvl w:val="0"/>
          <w:numId w:val="1"/>
        </w:numPr>
        <w:tabs>
          <w:tab w:val="left" w:pos="709"/>
          <w:tab w:val="left" w:pos="993"/>
          <w:tab w:val="left" w:pos="1418"/>
          <w:tab w:val="clear" w:pos="0"/>
        </w:tabs>
        <w:ind w:left="0" w:leftChars="0" w:firstLine="0" w:firstLineChars="0"/>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付款方式</w:t>
      </w:r>
    </w:p>
    <w:p w14:paraId="46AD9FD6">
      <w:pPr>
        <w:tabs>
          <w:tab w:val="left" w:pos="709"/>
          <w:tab w:val="left" w:pos="993"/>
          <w:tab w:val="left" w:pos="1418"/>
        </w:tabs>
        <w:ind w:firstLine="420" w:firstLineChars="150"/>
        <w:rPr>
          <w:rFonts w:hint="eastAsia" w:ascii="宋体" w:hAnsi="宋体" w:eastAsia="宋体"/>
          <w:color w:val="000000"/>
          <w:kern w:val="0"/>
          <w:sz w:val="28"/>
          <w:szCs w:val="28"/>
          <w:lang w:val="en-US" w:eastAsia="zh-CN"/>
        </w:rPr>
      </w:pPr>
      <w:r>
        <w:rPr>
          <w:rFonts w:hint="eastAsia" w:ascii="宋体" w:hAnsi="宋体"/>
          <w:color w:val="000000"/>
          <w:kern w:val="0"/>
          <w:sz w:val="28"/>
          <w:szCs w:val="28"/>
        </w:rPr>
        <w:t>付款方式及说明：</w:t>
      </w:r>
      <w:r>
        <w:rPr>
          <w:rFonts w:hint="eastAsia" w:ascii="黑体" w:hAnsi="黑体" w:eastAsia="黑体"/>
          <w:color w:val="000000"/>
          <w:kern w:val="0"/>
          <w:sz w:val="32"/>
          <w:szCs w:val="32"/>
          <w:lang w:val="en-US" w:eastAsia="zh-CN"/>
        </w:rPr>
        <w:t>项目验收后支付95%，一年后支付剩余5%</w:t>
      </w:r>
      <w:r>
        <w:rPr>
          <w:rFonts w:hint="eastAsia" w:ascii="宋体" w:hAnsi="宋体"/>
          <w:color w:val="000000"/>
          <w:kern w:val="0"/>
          <w:sz w:val="28"/>
          <w:szCs w:val="28"/>
          <w:lang w:eastAsia="zh-CN"/>
        </w:rPr>
        <w:t>。</w:t>
      </w:r>
    </w:p>
    <w:p w14:paraId="427AC9DA">
      <w:pPr>
        <w:pStyle w:val="24"/>
        <w:rPr>
          <w:rFonts w:hint="eastAsia"/>
          <w:lang w:val="en-US" w:eastAsia="zh-CN"/>
        </w:rPr>
      </w:pPr>
    </w:p>
    <w:p w14:paraId="21A942B9">
      <w:pPr>
        <w:pStyle w:val="24"/>
        <w:rPr>
          <w:rFonts w:hint="eastAsia"/>
          <w:lang w:val="en-US" w:eastAsia="zh-CN"/>
        </w:rPr>
      </w:pPr>
    </w:p>
    <w:p w14:paraId="198BA8B1">
      <w:pPr>
        <w:pStyle w:val="24"/>
        <w:rPr>
          <w:rFonts w:hint="eastAsia"/>
          <w:lang w:val="en-US" w:eastAsia="zh-CN"/>
        </w:rPr>
      </w:pPr>
    </w:p>
    <w:p w14:paraId="287834D9">
      <w:pPr>
        <w:pStyle w:val="24"/>
        <w:rPr>
          <w:rFonts w:hint="eastAsia"/>
          <w:lang w:val="en-US" w:eastAsia="zh-CN"/>
        </w:rPr>
      </w:pPr>
    </w:p>
    <w:p w14:paraId="3DB2BE2B">
      <w:pPr>
        <w:pStyle w:val="24"/>
        <w:rPr>
          <w:rFonts w:hint="eastAsia"/>
          <w:lang w:val="en-US" w:eastAsia="zh-CN"/>
        </w:rPr>
      </w:pPr>
    </w:p>
    <w:p w14:paraId="452ADE8C">
      <w:pPr>
        <w:pStyle w:val="24"/>
        <w:rPr>
          <w:rFonts w:hint="eastAsia"/>
          <w:lang w:val="en-US" w:eastAsia="zh-CN"/>
        </w:rPr>
      </w:pPr>
    </w:p>
    <w:p w14:paraId="63F35114">
      <w:pPr>
        <w:pStyle w:val="24"/>
        <w:rPr>
          <w:rFonts w:hint="eastAsia"/>
          <w:lang w:val="en-US" w:eastAsia="zh-CN"/>
        </w:rPr>
      </w:pPr>
    </w:p>
    <w:p w14:paraId="69C5F153">
      <w:pPr>
        <w:pStyle w:val="24"/>
        <w:rPr>
          <w:rFonts w:hint="eastAsia"/>
          <w:lang w:val="en-US" w:eastAsia="zh-CN"/>
        </w:rPr>
      </w:pPr>
    </w:p>
    <w:p w14:paraId="6EF1196C">
      <w:pPr>
        <w:pStyle w:val="24"/>
        <w:rPr>
          <w:rFonts w:hint="eastAsia"/>
          <w:lang w:val="en-US" w:eastAsia="zh-CN"/>
        </w:rPr>
      </w:pPr>
    </w:p>
    <w:p w14:paraId="641F2A8A">
      <w:pPr>
        <w:pStyle w:val="24"/>
        <w:rPr>
          <w:rFonts w:hint="eastAsia"/>
          <w:lang w:val="en-US" w:eastAsia="zh-CN"/>
        </w:rPr>
      </w:pPr>
    </w:p>
    <w:p w14:paraId="350F9BDB">
      <w:pPr>
        <w:pStyle w:val="24"/>
        <w:rPr>
          <w:rFonts w:hint="eastAsia"/>
          <w:lang w:val="en-US" w:eastAsia="zh-CN"/>
        </w:rPr>
      </w:pPr>
    </w:p>
    <w:p w14:paraId="220FACC1">
      <w:pPr>
        <w:pStyle w:val="24"/>
        <w:rPr>
          <w:rFonts w:hint="eastAsia"/>
          <w:lang w:val="en-US" w:eastAsia="zh-CN"/>
        </w:rPr>
      </w:pPr>
    </w:p>
    <w:p w14:paraId="28D3E30A">
      <w:pPr>
        <w:pStyle w:val="24"/>
        <w:rPr>
          <w:rFonts w:hint="eastAsia"/>
          <w:lang w:val="en-US" w:eastAsia="zh-CN"/>
        </w:rPr>
      </w:pPr>
    </w:p>
    <w:p w14:paraId="042A923F">
      <w:pPr>
        <w:pStyle w:val="24"/>
        <w:rPr>
          <w:rFonts w:hint="eastAsia"/>
          <w:lang w:val="en-US" w:eastAsia="zh-CN"/>
        </w:rPr>
      </w:pPr>
    </w:p>
    <w:p w14:paraId="2C5EDE2F">
      <w:pPr>
        <w:pStyle w:val="24"/>
        <w:rPr>
          <w:rFonts w:hint="eastAsia"/>
          <w:lang w:val="en-US" w:eastAsia="zh-CN"/>
        </w:rPr>
      </w:pPr>
    </w:p>
    <w:p w14:paraId="6C8A93C6">
      <w:pPr>
        <w:pStyle w:val="24"/>
        <w:rPr>
          <w:rFonts w:hint="eastAsia"/>
          <w:lang w:val="en-US" w:eastAsia="zh-CN"/>
        </w:rPr>
      </w:pPr>
    </w:p>
    <w:p w14:paraId="5441FDB8">
      <w:pPr>
        <w:pStyle w:val="24"/>
        <w:rPr>
          <w:rFonts w:hint="eastAsia"/>
          <w:lang w:val="en-US" w:eastAsia="zh-CN"/>
        </w:rPr>
      </w:pPr>
    </w:p>
    <w:p w14:paraId="0C6FACB7">
      <w:pPr>
        <w:pStyle w:val="24"/>
        <w:rPr>
          <w:rFonts w:hint="eastAsia"/>
          <w:lang w:val="en-US" w:eastAsia="zh-CN"/>
        </w:rPr>
      </w:pPr>
    </w:p>
    <w:p w14:paraId="62B356D5">
      <w:pPr>
        <w:pStyle w:val="24"/>
        <w:rPr>
          <w:rFonts w:hint="eastAsia"/>
          <w:lang w:val="en-US" w:eastAsia="zh-CN"/>
        </w:rPr>
      </w:pPr>
    </w:p>
    <w:p w14:paraId="11D26A4B">
      <w:pPr>
        <w:pStyle w:val="24"/>
        <w:rPr>
          <w:rFonts w:hint="eastAsia"/>
          <w:lang w:val="en-US" w:eastAsia="zh-CN"/>
        </w:rPr>
      </w:pPr>
    </w:p>
    <w:p w14:paraId="4C12C44D">
      <w:pPr>
        <w:pStyle w:val="24"/>
        <w:rPr>
          <w:rFonts w:hint="eastAsia"/>
          <w:lang w:val="en-US" w:eastAsia="zh-CN"/>
        </w:rPr>
      </w:pPr>
    </w:p>
    <w:p w14:paraId="181584CA">
      <w:pPr>
        <w:pStyle w:val="24"/>
        <w:rPr>
          <w:rFonts w:hint="eastAsia"/>
          <w:lang w:val="en-US" w:eastAsia="zh-CN"/>
        </w:rPr>
      </w:pPr>
    </w:p>
    <w:p w14:paraId="343EFF9D">
      <w:pPr>
        <w:pStyle w:val="24"/>
        <w:rPr>
          <w:rFonts w:hint="eastAsia"/>
          <w:lang w:val="en-US" w:eastAsia="zh-CN"/>
        </w:rPr>
      </w:pPr>
    </w:p>
    <w:p w14:paraId="440C29CE">
      <w:pPr>
        <w:pStyle w:val="24"/>
        <w:rPr>
          <w:rFonts w:hint="eastAsia"/>
          <w:lang w:val="en-US" w:eastAsia="zh-CN"/>
        </w:rPr>
      </w:pPr>
    </w:p>
    <w:p w14:paraId="69260562">
      <w:pPr>
        <w:pStyle w:val="24"/>
        <w:rPr>
          <w:rFonts w:hint="eastAsia"/>
          <w:lang w:val="en-US" w:eastAsia="zh-CN"/>
        </w:rPr>
      </w:pPr>
    </w:p>
    <w:p w14:paraId="249A7F8A">
      <w:pPr>
        <w:pStyle w:val="24"/>
        <w:rPr>
          <w:rFonts w:hint="eastAsia"/>
          <w:lang w:val="en-US" w:eastAsia="zh-CN"/>
        </w:rPr>
      </w:pPr>
    </w:p>
    <w:p w14:paraId="2CFA021F">
      <w:pPr>
        <w:pStyle w:val="24"/>
        <w:rPr>
          <w:rFonts w:hint="eastAsia"/>
          <w:lang w:val="en-US" w:eastAsia="zh-CN"/>
        </w:rPr>
      </w:pPr>
    </w:p>
    <w:p w14:paraId="68E8C02D">
      <w:pPr>
        <w:pStyle w:val="24"/>
        <w:rPr>
          <w:rFonts w:hint="eastAsia"/>
          <w:lang w:val="en-US" w:eastAsia="zh-CN"/>
        </w:rPr>
      </w:pPr>
    </w:p>
    <w:p w14:paraId="3F48D02E">
      <w:pPr>
        <w:pStyle w:val="24"/>
        <w:rPr>
          <w:rFonts w:hint="eastAsia"/>
          <w:lang w:val="en-US" w:eastAsia="zh-CN"/>
        </w:rPr>
      </w:pPr>
    </w:p>
    <w:p w14:paraId="5CF1C605">
      <w:pPr>
        <w:pStyle w:val="24"/>
        <w:rPr>
          <w:rFonts w:hint="eastAsia"/>
          <w:lang w:val="en-US" w:eastAsia="zh-CN"/>
        </w:rPr>
      </w:pPr>
    </w:p>
    <w:p w14:paraId="0823D605">
      <w:pPr>
        <w:pStyle w:val="24"/>
        <w:rPr>
          <w:rFonts w:hint="eastAsia"/>
          <w:lang w:val="en-US" w:eastAsia="zh-CN"/>
        </w:rPr>
      </w:pPr>
    </w:p>
    <w:p w14:paraId="36D810E2">
      <w:pPr>
        <w:pStyle w:val="24"/>
        <w:rPr>
          <w:rFonts w:hint="eastAsia"/>
          <w:lang w:val="en-US" w:eastAsia="zh-CN"/>
        </w:rPr>
      </w:pPr>
    </w:p>
    <w:p w14:paraId="00F3E443">
      <w:pPr>
        <w:pStyle w:val="24"/>
        <w:rPr>
          <w:rFonts w:hint="eastAsia"/>
          <w:lang w:val="en-US" w:eastAsia="zh-CN"/>
        </w:rPr>
      </w:pPr>
    </w:p>
    <w:p w14:paraId="17DB4B2E">
      <w:pPr>
        <w:pStyle w:val="24"/>
        <w:rPr>
          <w:rFonts w:hint="eastAsia"/>
          <w:lang w:val="en-US" w:eastAsia="zh-CN"/>
        </w:rPr>
      </w:pPr>
    </w:p>
    <w:p w14:paraId="1C459934">
      <w:pPr>
        <w:pStyle w:val="24"/>
        <w:rPr>
          <w:rFonts w:hint="eastAsia"/>
          <w:lang w:val="en-US" w:eastAsia="zh-CN"/>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服务期限</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9E21DA"/>
    <w:multiLevelType w:val="singleLevel"/>
    <w:tmpl w:val="CA9E21DA"/>
    <w:lvl w:ilvl="0" w:tentative="0">
      <w:start w:val="2"/>
      <w:numFmt w:val="decimal"/>
      <w:suff w:val="nothing"/>
      <w:lvlText w:val="%1、"/>
      <w:lvlJc w:val="left"/>
    </w:lvl>
  </w:abstractNum>
  <w:abstractNum w:abstractNumId="1">
    <w:nsid w:val="E4546650"/>
    <w:multiLevelType w:val="singleLevel"/>
    <w:tmpl w:val="E4546650"/>
    <w:lvl w:ilvl="0" w:tentative="0">
      <w:start w:val="1"/>
      <w:numFmt w:val="chineseCounting"/>
      <w:suff w:val="nothing"/>
      <w:lvlText w:val="%1、"/>
      <w:lvlJc w:val="left"/>
      <w:pPr>
        <w:tabs>
          <w:tab w:val="left" w:pos="0"/>
        </w:tabs>
      </w:pPr>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0A393543"/>
    <w:rsid w:val="15432C8D"/>
    <w:rsid w:val="28E50406"/>
    <w:rsid w:val="2B033247"/>
    <w:rsid w:val="2DE9428C"/>
    <w:rsid w:val="33413F98"/>
    <w:rsid w:val="36C74584"/>
    <w:rsid w:val="3C4F443F"/>
    <w:rsid w:val="3D787CE0"/>
    <w:rsid w:val="4E2E44B5"/>
    <w:rsid w:val="520570B3"/>
    <w:rsid w:val="520A14C9"/>
    <w:rsid w:val="57157A38"/>
    <w:rsid w:val="5D2D1C6B"/>
    <w:rsid w:val="609C6A9A"/>
    <w:rsid w:val="611064DF"/>
    <w:rsid w:val="61B4737A"/>
    <w:rsid w:val="68912694"/>
    <w:rsid w:val="6D952FBD"/>
    <w:rsid w:val="75A70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4533</Words>
  <Characters>4962</Characters>
  <Lines>65</Lines>
  <Paragraphs>18</Paragraphs>
  <TotalTime>30</TotalTime>
  <ScaleCrop>false</ScaleCrop>
  <LinksUpToDate>false</LinksUpToDate>
  <CharactersWithSpaces>5339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2026-05-21T00:26:03Z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57E76537FDCB4086A728E3549A3F8CF7_13</vt:lpwstr>
  </property>
  <property fmtid="{D5CDD505-2E9C-101B-9397-08002B2CF9AE}" pid="4" name="KSOTemplateDocerSaveRecord">
    <vt:lpwstr>eyJoZGlkIjoiNmUxYzRjMmE0NzkyMzQzMTk4OTkzZTZiNmMwNWQ3ZDAiLCJ1c2VySWQiOiIxNjExNjg4MDYzIn0=</vt:lpwstr>
  </property>
</Properties>
</file>