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项目名称：商学院专业资源库建设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项目编号：JSITHW2025111007</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4"/>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11</w:t>
      </w:r>
      <w:r>
        <w:rPr>
          <w:rFonts w:hint="eastAsia" w:ascii="宋体" w:hAnsi="宋体" w:eastAsia="宋体"/>
          <w:color w:val="000000"/>
        </w:rPr>
        <w:t>日</w:t>
      </w:r>
    </w:p>
    <w:p w14:paraId="3512919F">
      <w:pPr>
        <w:ind w:firstLine="3780" w:firstLineChars="1800"/>
        <w:rPr>
          <w:rStyle w:val="26"/>
          <w:rFonts w:eastAsia="黑体"/>
          <w:bCs/>
          <w:color w:val="000000"/>
          <w:sz w:val="48"/>
        </w:rPr>
      </w:pPr>
      <w:r>
        <w:rPr>
          <w:color w:val="000000"/>
        </w:rPr>
        <w:br w:type="page"/>
      </w:r>
      <w:r>
        <w:rPr>
          <w:rStyle w:val="26"/>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江苏信息职业技术学院招投标中心受学校委托，就商学院专业资源库建设采购项目进行公开招标，现欢迎符合相关条件的供应商参加投标。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名称：商学院专业资源库建设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编号：JSITHW2025111007</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9.6</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7"/>
          <w:sz w:val="24"/>
        </w:rPr>
        <w:t>www.creditchina.gov.cn</w:t>
      </w:r>
      <w:r>
        <w:rPr>
          <w:rStyle w:val="27"/>
          <w:sz w:val="24"/>
        </w:rPr>
        <w:fldChar w:fldCharType="end"/>
      </w:r>
      <w:r>
        <w:rPr>
          <w:rFonts w:hint="eastAsia"/>
          <w:sz w:val="24"/>
        </w:rPr>
        <w:t>）列入失信执行人、重大税收违法案件当事人名单、政府采购严重违法失信行为。</w:t>
      </w:r>
      <w:bookmarkEnd w:id="8"/>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11</w:t>
      </w:r>
      <w:r>
        <w:rPr>
          <w:rFonts w:hint="eastAsia"/>
          <w:color w:val="000000"/>
          <w:sz w:val="24"/>
        </w:rPr>
        <w:t>月</w:t>
      </w:r>
      <w:r>
        <w:rPr>
          <w:rFonts w:hint="eastAsia"/>
          <w:color w:val="000000"/>
          <w:sz w:val="24"/>
          <w:lang w:val="en-US" w:eastAsia="zh-CN"/>
        </w:rPr>
        <w:t>19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日09时00分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日09时30分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28</w:t>
      </w:r>
      <w:r>
        <w:rPr>
          <w:rFonts w:hint="eastAsia" w:ascii="宋体" w:hAnsi="宋体"/>
          <w:color w:val="000000"/>
          <w:spacing w:val="4"/>
          <w:sz w:val="24"/>
        </w:rPr>
        <w:t>日09时30分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w:t>
      </w:r>
      <w:r>
        <w:rPr>
          <w:rFonts w:hint="eastAsia"/>
          <w:color w:val="000000"/>
          <w:spacing w:val="4"/>
          <w:sz w:val="24"/>
          <w:lang w:val="en-US" w:eastAsia="zh-CN"/>
        </w:rPr>
        <w:t>李</w:t>
      </w:r>
      <w:r>
        <w:rPr>
          <w:rFonts w:hint="eastAsia"/>
          <w:color w:val="000000"/>
          <w:spacing w:val="4"/>
          <w:sz w:val="24"/>
        </w:rPr>
        <w:t>老师</w:t>
      </w:r>
    </w:p>
    <w:p w14:paraId="58964F27">
      <w:pPr>
        <w:spacing w:line="360" w:lineRule="auto"/>
        <w:ind w:firstLine="969" w:firstLineChars="391"/>
        <w:rPr>
          <w:color w:val="000000"/>
          <w:spacing w:val="4"/>
          <w:sz w:val="24"/>
        </w:rPr>
      </w:pPr>
      <w:r>
        <w:rPr>
          <w:rFonts w:hint="eastAsia"/>
          <w:color w:val="000000"/>
          <w:spacing w:val="4"/>
          <w:sz w:val="24"/>
        </w:rPr>
        <w:t>联系电话：18914269283</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12</w:t>
      </w:r>
      <w:r>
        <w:rPr>
          <w:rFonts w:hint="eastAsia"/>
          <w:color w:val="000000"/>
          <w:spacing w:val="4"/>
          <w:sz w:val="24"/>
        </w:rPr>
        <w:t>日</w:t>
      </w:r>
    </w:p>
    <w:p w14:paraId="1129E1EB">
      <w:pPr>
        <w:spacing w:line="300" w:lineRule="auto"/>
        <w:ind w:firstLine="1837" w:firstLineChars="741"/>
        <w:rPr>
          <w:rFonts w:hint="eastAsia" w:ascii="宋体" w:hAnsi="宋体"/>
          <w:b/>
          <w:color w:val="000000"/>
          <w:sz w:val="44"/>
          <w:szCs w:val="44"/>
        </w:rPr>
      </w:pPr>
      <w:bookmarkStart w:id="14" w:name="_GoBack"/>
      <w:bookmarkEnd w:id="14"/>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（8）投标人认为需要陈述的其他内容（格式自拟）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58FB036">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（9）其它未对招标文件实质性要求和条件作出响应的；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2"/>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04DC99AB">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4</w:t>
            </w:r>
            <w:r>
              <w:rPr>
                <w:rFonts w:hint="eastAsia"/>
                <w:color w:val="000000"/>
                <w:sz w:val="24"/>
              </w:rPr>
              <w:t>0分）</w:t>
            </w:r>
          </w:p>
        </w:tc>
        <w:tc>
          <w:tcPr>
            <w:tcW w:w="7199" w:type="dxa"/>
            <w:vAlign w:val="center"/>
          </w:tcPr>
          <w:p w14:paraId="1DFFF72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满足招标文件要求且价格最低的投标报价为评标基准价，各投标人价格得分=（评标基准价÷各投标人报价）×</w:t>
            </w:r>
            <w:r>
              <w:rPr>
                <w:rFonts w:hint="eastAsia" w:ascii="宋体" w:hAnsi="宋体" w:cs="宋体"/>
                <w:bCs/>
                <w:color w:val="000000"/>
                <w:sz w:val="24"/>
                <w:lang w:val="en-US" w:eastAsia="zh-CN"/>
              </w:rPr>
              <w:t>4</w:t>
            </w:r>
            <w:r>
              <w:rPr>
                <w:rFonts w:hint="eastAsia" w:ascii="宋体" w:hAnsi="宋体" w:cs="宋体"/>
                <w:bCs/>
                <w:color w:val="000000"/>
                <w:sz w:val="24"/>
              </w:rPr>
              <w:t>0</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企业业绩（5分）</w:t>
            </w:r>
          </w:p>
        </w:tc>
        <w:tc>
          <w:tcPr>
            <w:tcW w:w="7199" w:type="dxa"/>
            <w:vAlign w:val="center"/>
          </w:tcPr>
          <w:p w14:paraId="3F9B4C42">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自202</w:t>
            </w:r>
            <w:r>
              <w:rPr>
                <w:rFonts w:hint="eastAsia" w:ascii="宋体" w:hAnsi="宋体" w:eastAsia="宋体" w:cs="宋体"/>
                <w:bCs/>
                <w:color w:val="000000"/>
                <w:sz w:val="24"/>
                <w:lang w:val="en-US" w:eastAsia="zh-CN"/>
              </w:rPr>
              <w:t>2</w:t>
            </w:r>
            <w:r>
              <w:rPr>
                <w:rFonts w:hint="eastAsia" w:ascii="宋体" w:hAnsi="宋体" w:eastAsia="宋体" w:cs="宋体"/>
                <w:bCs/>
                <w:color w:val="000000"/>
                <w:sz w:val="24"/>
              </w:rPr>
              <w:t>年</w:t>
            </w:r>
            <w:r>
              <w:rPr>
                <w:rFonts w:hint="eastAsia" w:ascii="宋体" w:hAnsi="宋体" w:eastAsia="宋体" w:cs="宋体"/>
                <w:bCs/>
                <w:color w:val="000000"/>
                <w:sz w:val="24"/>
                <w:lang w:val="en-US" w:eastAsia="zh-CN"/>
              </w:rPr>
              <w:t>9</w:t>
            </w:r>
            <w:r>
              <w:rPr>
                <w:rFonts w:hint="eastAsia" w:ascii="宋体" w:hAnsi="宋体" w:eastAsia="宋体" w:cs="宋体"/>
                <w:bCs/>
                <w:color w:val="000000"/>
                <w:sz w:val="24"/>
              </w:rPr>
              <w:t>月1日至本项目招标公告发布之日止（以合同签订时间为准）</w:t>
            </w:r>
            <w:r>
              <w:rPr>
                <w:rFonts w:hint="eastAsia" w:ascii="宋体" w:hAnsi="宋体" w:eastAsia="宋体" w:cs="宋体"/>
                <w:bCs/>
                <w:color w:val="000000"/>
                <w:sz w:val="24"/>
                <w:lang w:eastAsia="zh-CN"/>
              </w:rPr>
              <w:t>具有与本项目</w:t>
            </w:r>
            <w:r>
              <w:rPr>
                <w:rFonts w:hint="eastAsia" w:ascii="宋体" w:hAnsi="宋体" w:eastAsia="宋体" w:cs="宋体"/>
                <w:bCs/>
                <w:color w:val="000000"/>
                <w:sz w:val="24"/>
              </w:rPr>
              <w:t>类似</w:t>
            </w:r>
            <w:r>
              <w:rPr>
                <w:rFonts w:hint="eastAsia" w:ascii="宋体" w:hAnsi="宋体" w:eastAsia="宋体" w:cs="宋体"/>
                <w:bCs/>
                <w:color w:val="000000"/>
                <w:sz w:val="24"/>
                <w:lang w:eastAsia="zh-CN"/>
              </w:rPr>
              <w:t>的</w:t>
            </w:r>
            <w:r>
              <w:rPr>
                <w:rFonts w:hint="eastAsia" w:ascii="宋体" w:hAnsi="宋体" w:eastAsia="宋体" w:cs="宋体"/>
                <w:bCs/>
                <w:color w:val="000000"/>
                <w:sz w:val="24"/>
              </w:rPr>
              <w:t>项目业绩，每提供一份</w:t>
            </w:r>
            <w:r>
              <w:rPr>
                <w:rFonts w:hint="eastAsia" w:ascii="宋体" w:hAnsi="宋体" w:eastAsia="宋体" w:cs="宋体"/>
                <w:bCs/>
                <w:color w:val="000000"/>
                <w:sz w:val="24"/>
                <w:lang w:eastAsia="zh-CN"/>
              </w:rPr>
              <w:t>有效业绩合同</w:t>
            </w:r>
            <w:r>
              <w:rPr>
                <w:rFonts w:hint="eastAsia" w:ascii="宋体" w:hAnsi="宋体" w:eastAsia="宋体" w:cs="宋体"/>
                <w:bCs/>
                <w:color w:val="000000"/>
                <w:sz w:val="24"/>
              </w:rPr>
              <w:t>得</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本项</w:t>
            </w:r>
            <w:r>
              <w:rPr>
                <w:rFonts w:hint="eastAsia" w:ascii="宋体" w:hAnsi="宋体" w:eastAsia="宋体" w:cs="宋体"/>
                <w:bCs/>
                <w:color w:val="000000"/>
                <w:sz w:val="24"/>
              </w:rPr>
              <w:t>最高得</w:t>
            </w: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分。</w:t>
            </w:r>
          </w:p>
          <w:p w14:paraId="1444F83D">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rPr>
              <w:t>注：</w:t>
            </w:r>
            <w:r>
              <w:rPr>
                <w:rFonts w:hint="eastAsia" w:ascii="宋体" w:hAnsi="宋体" w:eastAsia="宋体" w:cs="宋体"/>
                <w:bCs/>
                <w:color w:val="000000"/>
                <w:sz w:val="24"/>
                <w:lang w:val="en-US" w:eastAsia="zh-CN"/>
              </w:rPr>
              <w:t>1.同一业主单位的业绩不可累计计分。</w:t>
            </w:r>
          </w:p>
          <w:p w14:paraId="0FB81403">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lang w:val="en-US" w:eastAsia="zh-CN"/>
              </w:rPr>
              <w:t>2.投标文件中提供完整有效的业绩合同或证明材料扫描件并加盖投标人电子公章，如合同内容无法体现签订时间或服务内容的，须另附业主单位证明材料扫描件或复印件并加盖投标人电子公章，未按要求提供的不得分。</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restart"/>
            <w:noWrap/>
            <w:vAlign w:val="center"/>
          </w:tcPr>
          <w:p w14:paraId="01966740">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1884" w:type="dxa"/>
            <w:vMerge w:val="restart"/>
            <w:noWrap/>
            <w:vAlign w:val="center"/>
          </w:tcPr>
          <w:p w14:paraId="0203AB9D">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综合实力</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8分</w:t>
            </w:r>
            <w:r>
              <w:rPr>
                <w:rFonts w:hint="eastAsia" w:ascii="宋体" w:hAnsi="宋体" w:eastAsia="宋体" w:cs="Times New Roman"/>
                <w:color w:val="000000"/>
                <w:sz w:val="24"/>
                <w:lang w:eastAsia="zh-CN"/>
              </w:rPr>
              <w:t>）</w:t>
            </w:r>
          </w:p>
        </w:tc>
        <w:tc>
          <w:tcPr>
            <w:tcW w:w="7199" w:type="dxa"/>
            <w:vAlign w:val="center"/>
          </w:tcPr>
          <w:p w14:paraId="2AD9BBDA">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投标人具有国家版权局颁发的教学资源库相关的软件著作权登记证书的，得2分。（</w:t>
            </w:r>
            <w:r>
              <w:rPr>
                <w:rFonts w:hint="eastAsia" w:ascii="宋体" w:hAnsi="宋体" w:eastAsia="宋体" w:cs="宋体"/>
                <w:bCs/>
                <w:color w:val="000000"/>
                <w:sz w:val="24"/>
              </w:rPr>
              <w:t>注：</w:t>
            </w:r>
            <w:r>
              <w:rPr>
                <w:rFonts w:hint="eastAsia" w:ascii="宋体" w:hAnsi="宋体" w:eastAsia="宋体" w:cs="宋体"/>
                <w:bCs/>
                <w:color w:val="000000"/>
                <w:sz w:val="24"/>
                <w:lang w:eastAsia="zh-CN"/>
              </w:rPr>
              <w:t>投标文件中提供上述相关证书扫描件并加盖投标人电子公章，否则不得分。</w:t>
            </w:r>
            <w:r>
              <w:rPr>
                <w:rFonts w:hint="eastAsia" w:ascii="宋体" w:hAnsi="宋体" w:eastAsia="宋体" w:cs="宋体"/>
                <w:bCs/>
                <w:color w:val="000000"/>
                <w:sz w:val="24"/>
                <w:lang w:val="en-US" w:eastAsia="zh-CN"/>
              </w:rPr>
              <w:t>）</w:t>
            </w:r>
          </w:p>
        </w:tc>
      </w:tr>
      <w:tr w14:paraId="5450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6A126C63">
            <w:pPr>
              <w:widowControl/>
              <w:spacing w:line="400" w:lineRule="exact"/>
              <w:jc w:val="center"/>
            </w:pPr>
          </w:p>
        </w:tc>
        <w:tc>
          <w:tcPr>
            <w:tcW w:w="1884" w:type="dxa"/>
            <w:vMerge w:val="continue"/>
            <w:noWrap/>
            <w:vAlign w:val="center"/>
          </w:tcPr>
          <w:p w14:paraId="22A03C24">
            <w:pPr>
              <w:widowControl/>
              <w:spacing w:line="400" w:lineRule="exact"/>
              <w:jc w:val="center"/>
              <w:rPr>
                <w:rFonts w:hint="eastAsia" w:ascii="宋体" w:hAnsi="宋体" w:eastAsia="宋体" w:cs="Times New Roman"/>
                <w:color w:val="000000"/>
                <w:sz w:val="24"/>
                <w:lang w:val="en-US" w:eastAsia="zh-CN"/>
              </w:rPr>
            </w:pPr>
          </w:p>
        </w:tc>
        <w:tc>
          <w:tcPr>
            <w:tcW w:w="7199" w:type="dxa"/>
            <w:vAlign w:val="center"/>
          </w:tcPr>
          <w:p w14:paraId="6CC991D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2.投标人具有国家版权局颁发的内容安全审核相关的软件著作权登记证书的，得2分。（</w:t>
            </w:r>
            <w:r>
              <w:rPr>
                <w:rFonts w:hint="eastAsia" w:ascii="宋体" w:hAnsi="宋体" w:eastAsia="宋体" w:cs="宋体"/>
                <w:bCs/>
                <w:color w:val="000000"/>
                <w:sz w:val="24"/>
              </w:rPr>
              <w:t>注：</w:t>
            </w:r>
            <w:r>
              <w:rPr>
                <w:rFonts w:hint="eastAsia" w:ascii="宋体" w:hAnsi="宋体" w:eastAsia="宋体" w:cs="宋体"/>
                <w:bCs/>
                <w:color w:val="000000"/>
                <w:sz w:val="24"/>
                <w:lang w:eastAsia="zh-CN"/>
              </w:rPr>
              <w:t>投标文件中提供上述相关证书扫描件并加盖投标人电子公章，否则不得分。</w:t>
            </w:r>
            <w:r>
              <w:rPr>
                <w:rFonts w:hint="eastAsia" w:ascii="宋体" w:hAnsi="宋体" w:eastAsia="宋体" w:cs="宋体"/>
                <w:bCs/>
                <w:color w:val="000000"/>
                <w:sz w:val="24"/>
                <w:lang w:val="en-US" w:eastAsia="zh-CN"/>
              </w:rPr>
              <w:t>）</w:t>
            </w:r>
          </w:p>
        </w:tc>
      </w:tr>
      <w:tr w14:paraId="6B65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09BD1B99">
            <w:pPr>
              <w:widowControl/>
              <w:spacing w:line="400" w:lineRule="exact"/>
              <w:jc w:val="center"/>
              <w:rPr>
                <w:rFonts w:hint="eastAsia" w:ascii="宋体" w:hAnsi="宋体"/>
                <w:color w:val="000000"/>
                <w:sz w:val="24"/>
              </w:rPr>
            </w:pPr>
          </w:p>
        </w:tc>
        <w:tc>
          <w:tcPr>
            <w:tcW w:w="1884" w:type="dxa"/>
            <w:vMerge w:val="continue"/>
            <w:noWrap/>
            <w:vAlign w:val="center"/>
          </w:tcPr>
          <w:p w14:paraId="52C0C950">
            <w:pPr>
              <w:widowControl/>
              <w:spacing w:line="400" w:lineRule="exact"/>
              <w:jc w:val="center"/>
              <w:rPr>
                <w:rFonts w:hint="eastAsia" w:ascii="宋体" w:hAnsi="宋体" w:eastAsia="宋体" w:cs="Times New Roman"/>
                <w:color w:val="000000"/>
                <w:sz w:val="24"/>
                <w:lang w:val="en-US" w:eastAsia="zh-CN"/>
              </w:rPr>
            </w:pPr>
          </w:p>
        </w:tc>
        <w:tc>
          <w:tcPr>
            <w:tcW w:w="7199" w:type="dxa"/>
            <w:vAlign w:val="center"/>
          </w:tcPr>
          <w:p w14:paraId="0AC701FE">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3.投标人具有中国网络安全审查技术与认证中心颁发的APP安全认证证书的，得2分。（</w:t>
            </w:r>
            <w:r>
              <w:rPr>
                <w:rFonts w:hint="eastAsia" w:ascii="宋体" w:hAnsi="宋体" w:eastAsia="宋体" w:cs="宋体"/>
                <w:bCs/>
                <w:color w:val="000000"/>
                <w:sz w:val="24"/>
              </w:rPr>
              <w:t>注：</w:t>
            </w:r>
            <w:r>
              <w:rPr>
                <w:rFonts w:hint="eastAsia" w:ascii="宋体" w:hAnsi="宋体" w:eastAsia="宋体" w:cs="宋体"/>
                <w:bCs/>
                <w:color w:val="000000"/>
                <w:sz w:val="24"/>
                <w:lang w:eastAsia="zh-CN"/>
              </w:rPr>
              <w:t>投标文件中提供上述相关证书扫描件并加盖投标人电子公章，否则不得分。</w:t>
            </w:r>
            <w:r>
              <w:rPr>
                <w:rFonts w:hint="eastAsia" w:ascii="宋体" w:hAnsi="宋体" w:eastAsia="宋体" w:cs="宋体"/>
                <w:bCs/>
                <w:color w:val="000000"/>
                <w:sz w:val="24"/>
                <w:lang w:val="en-US" w:eastAsia="zh-CN"/>
              </w:rPr>
              <w:t>）</w:t>
            </w:r>
          </w:p>
        </w:tc>
      </w:tr>
      <w:tr w14:paraId="76CF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19F05DA3">
            <w:pPr>
              <w:widowControl/>
              <w:spacing w:line="400" w:lineRule="exact"/>
              <w:jc w:val="center"/>
              <w:rPr>
                <w:rFonts w:hint="eastAsia" w:ascii="宋体" w:hAnsi="宋体"/>
                <w:color w:val="000000"/>
                <w:sz w:val="24"/>
              </w:rPr>
            </w:pPr>
          </w:p>
        </w:tc>
        <w:tc>
          <w:tcPr>
            <w:tcW w:w="1884" w:type="dxa"/>
            <w:vMerge w:val="continue"/>
            <w:noWrap/>
            <w:vAlign w:val="center"/>
          </w:tcPr>
          <w:p w14:paraId="1E84F4FB">
            <w:pPr>
              <w:widowControl/>
              <w:spacing w:line="400" w:lineRule="exact"/>
              <w:jc w:val="center"/>
              <w:rPr>
                <w:rFonts w:hint="eastAsia" w:ascii="宋体" w:hAnsi="宋体" w:eastAsia="宋体" w:cs="Times New Roman"/>
                <w:color w:val="000000"/>
                <w:sz w:val="24"/>
                <w:lang w:val="en-US" w:eastAsia="zh-CN"/>
              </w:rPr>
            </w:pPr>
          </w:p>
        </w:tc>
        <w:tc>
          <w:tcPr>
            <w:tcW w:w="7199" w:type="dxa"/>
            <w:vAlign w:val="center"/>
          </w:tcPr>
          <w:p w14:paraId="60294D6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4.投标人具有国家版权局颁发的人培方案相关的软件著作权登记证书的证书，得2分。（</w:t>
            </w:r>
            <w:r>
              <w:rPr>
                <w:rFonts w:hint="eastAsia" w:ascii="宋体" w:hAnsi="宋体" w:eastAsia="宋体" w:cs="宋体"/>
                <w:bCs/>
                <w:color w:val="000000"/>
                <w:sz w:val="24"/>
              </w:rPr>
              <w:t>注：</w:t>
            </w:r>
            <w:r>
              <w:rPr>
                <w:rFonts w:hint="eastAsia" w:ascii="宋体" w:hAnsi="宋体" w:eastAsia="宋体" w:cs="宋体"/>
                <w:bCs/>
                <w:color w:val="000000"/>
                <w:sz w:val="24"/>
                <w:lang w:eastAsia="zh-CN"/>
              </w:rPr>
              <w:t>投标文件中提供上述相关证书扫描件并加盖投标人电子公章，否则不得分。</w:t>
            </w:r>
            <w:r>
              <w:rPr>
                <w:rFonts w:hint="eastAsia" w:ascii="宋体" w:hAnsi="宋体" w:eastAsia="宋体" w:cs="宋体"/>
                <w:bCs/>
                <w:color w:val="000000"/>
                <w:sz w:val="24"/>
                <w:lang w:val="en-US" w:eastAsia="zh-CN"/>
              </w:rPr>
              <w:t>）</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1884" w:type="dxa"/>
            <w:noWrap/>
            <w:vAlign w:val="center"/>
          </w:tcPr>
          <w:p w14:paraId="173022B1">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服务人员（2分）</w:t>
            </w:r>
          </w:p>
        </w:tc>
        <w:tc>
          <w:tcPr>
            <w:tcW w:w="7199" w:type="dxa"/>
            <w:vAlign w:val="center"/>
          </w:tcPr>
          <w:p w14:paraId="0A2F03D0">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项目负责人具有本科学历且具有与本项目相关的项目管理证书，能整体把控项目质量和进度管理，得2分；</w:t>
            </w:r>
          </w:p>
          <w:p w14:paraId="5E17712E">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lang w:val="en-US" w:eastAsia="zh-CN"/>
              </w:rPr>
              <w:t>注：响应文件中提供人员学历证书复印件、证书复印件及供应商为其缴纳的近三个月社保证明，社保证明上必须有二维码可供现场验证。</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D8E96">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1884" w:type="dxa"/>
            <w:noWrap/>
            <w:vAlign w:val="center"/>
          </w:tcPr>
          <w:p w14:paraId="4CE3EC94">
            <w:pPr>
              <w:widowControl/>
              <w:spacing w:line="400" w:lineRule="exact"/>
              <w:jc w:val="center"/>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移动学习移动端（8分）</w:t>
            </w:r>
          </w:p>
        </w:tc>
        <w:tc>
          <w:tcPr>
            <w:tcW w:w="7199" w:type="dxa"/>
            <w:vAlign w:val="center"/>
          </w:tcPr>
          <w:p w14:paraId="00FF7997">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为保障数据安全、功能更完整，灵活性更强移动学习端需配备专业的APP，同时为方便使用者在学习、教学、管理角色中随意切换，投标人不得根据用户角色区分下载不同移动端APP，同一个移动端APP需完成教、学、管，让移动学习与管理体验更完美，能够完全满足以上要求的，得8分。</w:t>
            </w:r>
          </w:p>
          <w:p w14:paraId="36713F9F">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注：投标文件中须提供满足该要求的唯一移动端APP名称、安卓版本和IOS版本APP上架截图证明、投标人提供承诺函（承诺格式自拟）并加盖投标人电子公章，不满足要求或未按规定提供材料者不得分。提供虚假承诺或证明材料者，取消其投标或中标（成交）资格。</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1884" w:type="dxa"/>
            <w:noWrap/>
            <w:vAlign w:val="center"/>
          </w:tcPr>
          <w:p w14:paraId="4DA80E29">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知识产权（6分）</w:t>
            </w:r>
          </w:p>
        </w:tc>
        <w:tc>
          <w:tcPr>
            <w:tcW w:w="7199" w:type="dxa"/>
            <w:vAlign w:val="center"/>
          </w:tcPr>
          <w:p w14:paraId="43117F2E">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lang w:val="en-US" w:eastAsia="zh-CN"/>
              </w:rPr>
              <w:t>供应商</w:t>
            </w:r>
            <w:r>
              <w:rPr>
                <w:rFonts w:hint="default" w:ascii="宋体" w:hAnsi="宋体" w:eastAsia="宋体" w:cs="宋体"/>
                <w:bCs/>
                <w:color w:val="000000"/>
                <w:sz w:val="24"/>
                <w:lang w:val="en-US" w:eastAsia="zh-CN"/>
              </w:rPr>
              <w:t>提供的备课资源库中的电子图书和视频必须取得著作权人的授权，每提供一份个人作品授权书得</w:t>
            </w:r>
            <w:r>
              <w:rPr>
                <w:rFonts w:hint="eastAsia" w:ascii="宋体" w:hAnsi="宋体" w:eastAsia="宋体" w:cs="宋体"/>
                <w:bCs/>
                <w:color w:val="000000"/>
                <w:sz w:val="24"/>
                <w:lang w:val="en-US" w:eastAsia="zh-CN"/>
              </w:rPr>
              <w:t>0.5</w:t>
            </w:r>
            <w:r>
              <w:rPr>
                <w:rFonts w:hint="default" w:ascii="宋体" w:hAnsi="宋体" w:eastAsia="宋体" w:cs="宋体"/>
                <w:bCs/>
                <w:color w:val="000000"/>
                <w:sz w:val="24"/>
                <w:lang w:val="en-US" w:eastAsia="zh-CN"/>
              </w:rPr>
              <w:t>分，最高得</w:t>
            </w:r>
            <w:r>
              <w:rPr>
                <w:rFonts w:hint="eastAsia" w:ascii="宋体" w:hAnsi="宋体" w:eastAsia="宋体" w:cs="宋体"/>
                <w:bCs/>
                <w:color w:val="000000"/>
                <w:sz w:val="24"/>
                <w:lang w:val="en-US" w:eastAsia="zh-CN"/>
              </w:rPr>
              <w:t>6</w:t>
            </w:r>
            <w:r>
              <w:rPr>
                <w:rFonts w:hint="default" w:ascii="宋体" w:hAnsi="宋体" w:eastAsia="宋体" w:cs="宋体"/>
                <w:bCs/>
                <w:color w:val="000000"/>
                <w:sz w:val="24"/>
                <w:lang w:val="en-US" w:eastAsia="zh-CN"/>
              </w:rPr>
              <w:t>分。</w:t>
            </w:r>
          </w:p>
        </w:tc>
      </w:tr>
      <w:tr w14:paraId="6B43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316BA95">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7</w:t>
            </w:r>
          </w:p>
        </w:tc>
        <w:tc>
          <w:tcPr>
            <w:tcW w:w="1884" w:type="dxa"/>
            <w:noWrap/>
            <w:vAlign w:val="center"/>
          </w:tcPr>
          <w:p w14:paraId="25D50AB2">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服务方案</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5分</w:t>
            </w:r>
            <w:r>
              <w:rPr>
                <w:rFonts w:hint="eastAsia" w:ascii="宋体" w:hAnsi="宋体" w:eastAsia="宋体" w:cs="Times New Roman"/>
                <w:color w:val="000000"/>
                <w:sz w:val="24"/>
                <w:lang w:eastAsia="zh-CN"/>
              </w:rPr>
              <w:t>）</w:t>
            </w:r>
          </w:p>
        </w:tc>
        <w:tc>
          <w:tcPr>
            <w:tcW w:w="7199" w:type="dxa"/>
            <w:vAlign w:val="center"/>
          </w:tcPr>
          <w:p w14:paraId="7C5C4CEC">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lang w:eastAsia="zh-CN"/>
              </w:rPr>
              <w:t>评委</w:t>
            </w:r>
            <w:r>
              <w:rPr>
                <w:rFonts w:hint="eastAsia" w:ascii="宋体" w:hAnsi="宋体" w:eastAsia="宋体" w:cs="宋体"/>
                <w:bCs/>
                <w:color w:val="000000"/>
                <w:sz w:val="24"/>
              </w:rPr>
              <w:t>根据投标人针对本项目所提供的服务方案进行综合评审；</w:t>
            </w:r>
          </w:p>
          <w:p w14:paraId="2AF22E9E">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rPr>
              <w:t>项目服务方案的合理性、可行性、周全性等内容优秀的</w:t>
            </w:r>
            <w:r>
              <w:rPr>
                <w:rFonts w:hint="eastAsia" w:ascii="宋体" w:hAnsi="宋体" w:eastAsia="宋体" w:cs="宋体"/>
                <w:bCs/>
                <w:color w:val="000000"/>
                <w:sz w:val="24"/>
                <w:lang w:eastAsia="zh-CN"/>
              </w:rPr>
              <w:t>，</w:t>
            </w:r>
            <w:r>
              <w:rPr>
                <w:rFonts w:hint="eastAsia" w:ascii="宋体" w:hAnsi="宋体" w:eastAsia="宋体" w:cs="宋体"/>
                <w:bCs/>
                <w:color w:val="000000"/>
                <w:sz w:val="24"/>
              </w:rPr>
              <w:t>得</w:t>
            </w: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p>
          <w:p w14:paraId="1B1E8E9A">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rPr>
              <w:t>项目服务方案的合理性、可行性、周全性等内容一般的</w:t>
            </w:r>
            <w:r>
              <w:rPr>
                <w:rFonts w:hint="eastAsia" w:ascii="宋体" w:hAnsi="宋体" w:eastAsia="宋体" w:cs="宋体"/>
                <w:bCs/>
                <w:color w:val="000000"/>
                <w:sz w:val="24"/>
                <w:lang w:eastAsia="zh-CN"/>
              </w:rPr>
              <w:t>，</w:t>
            </w:r>
            <w:r>
              <w:rPr>
                <w:rFonts w:hint="eastAsia" w:ascii="宋体" w:hAnsi="宋体" w:eastAsia="宋体" w:cs="宋体"/>
                <w:bCs/>
                <w:color w:val="000000"/>
                <w:sz w:val="24"/>
              </w:rPr>
              <w:t>得</w:t>
            </w:r>
            <w:r>
              <w:rPr>
                <w:rFonts w:hint="eastAsia" w:ascii="宋体" w:hAnsi="宋体" w:eastAsia="宋体" w:cs="宋体"/>
                <w:bCs/>
                <w:color w:val="000000"/>
                <w:sz w:val="24"/>
                <w:lang w:val="en-US" w:eastAsia="zh-CN"/>
              </w:rPr>
              <w:t>3</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p>
          <w:p w14:paraId="47178829">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rPr>
              <w:t>项目服务方案的合理性、可行性、周全性等内容有瑕疵的</w:t>
            </w:r>
            <w:r>
              <w:rPr>
                <w:rFonts w:hint="eastAsia" w:ascii="宋体" w:hAnsi="宋体" w:eastAsia="宋体" w:cs="宋体"/>
                <w:bCs/>
                <w:color w:val="000000"/>
                <w:sz w:val="24"/>
                <w:lang w:eastAsia="zh-CN"/>
              </w:rPr>
              <w:t>，</w:t>
            </w:r>
            <w:r>
              <w:rPr>
                <w:rFonts w:hint="eastAsia" w:ascii="宋体" w:hAnsi="宋体" w:eastAsia="宋体" w:cs="宋体"/>
                <w:bCs/>
                <w:color w:val="000000"/>
                <w:sz w:val="24"/>
              </w:rPr>
              <w:t>得</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p>
          <w:p w14:paraId="12E3AA2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rPr>
              <w:t>不提供不得分</w:t>
            </w:r>
          </w:p>
        </w:tc>
      </w:tr>
      <w:tr w14:paraId="07EE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523C097">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8</w:t>
            </w:r>
          </w:p>
        </w:tc>
        <w:tc>
          <w:tcPr>
            <w:tcW w:w="1884" w:type="dxa"/>
            <w:noWrap/>
            <w:vAlign w:val="center"/>
          </w:tcPr>
          <w:p w14:paraId="6C56FC7A">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数据对接方案</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5分</w:t>
            </w:r>
            <w:r>
              <w:rPr>
                <w:rFonts w:hint="eastAsia" w:ascii="宋体" w:hAnsi="宋体" w:eastAsia="宋体" w:cs="Times New Roman"/>
                <w:color w:val="000000"/>
                <w:sz w:val="24"/>
                <w:lang w:eastAsia="zh-CN"/>
              </w:rPr>
              <w:t>）</w:t>
            </w:r>
          </w:p>
        </w:tc>
        <w:tc>
          <w:tcPr>
            <w:tcW w:w="7199" w:type="dxa"/>
            <w:vAlign w:val="center"/>
          </w:tcPr>
          <w:p w14:paraId="595ADB6D">
            <w:pPr>
              <w:tabs>
                <w:tab w:val="left" w:pos="840"/>
                <w:tab w:val="left" w:pos="1050"/>
              </w:tabs>
              <w:adjustRightInd w:val="0"/>
              <w:snapToGrid w:val="0"/>
              <w:spacing w:line="460" w:lineRule="exact"/>
              <w:jc w:val="left"/>
              <w:rPr>
                <w:rFonts w:hint="eastAsia" w:ascii="宋体" w:hAnsi="宋体" w:eastAsia="宋体" w:cs="宋体"/>
                <w:bCs/>
                <w:color w:val="000000"/>
                <w:sz w:val="24"/>
              </w:rPr>
            </w:pPr>
            <w:r>
              <w:rPr>
                <w:rFonts w:hint="eastAsia" w:ascii="宋体" w:hAnsi="宋体" w:eastAsia="宋体" w:cs="宋体"/>
                <w:bCs/>
                <w:color w:val="000000"/>
                <w:sz w:val="24"/>
                <w:lang w:eastAsia="zh-CN"/>
              </w:rPr>
              <w:t>评委</w:t>
            </w:r>
            <w:r>
              <w:rPr>
                <w:rFonts w:hint="eastAsia" w:ascii="宋体" w:hAnsi="宋体" w:eastAsia="宋体" w:cs="宋体"/>
                <w:bCs/>
                <w:color w:val="000000"/>
                <w:sz w:val="24"/>
              </w:rPr>
              <w:t>根据</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针对本项目提供的具体数据对接方案（包括</w:t>
            </w:r>
            <w:r>
              <w:rPr>
                <w:rFonts w:hint="eastAsia" w:ascii="宋体" w:hAnsi="宋体" w:eastAsia="宋体" w:cs="宋体"/>
                <w:bCs/>
                <w:color w:val="000000"/>
                <w:sz w:val="24"/>
                <w:lang w:eastAsia="zh-CN"/>
              </w:rPr>
              <w:t>但不限于</w:t>
            </w:r>
            <w:r>
              <w:rPr>
                <w:rFonts w:hint="eastAsia" w:ascii="宋体" w:hAnsi="宋体" w:eastAsia="宋体" w:cs="宋体"/>
                <w:bCs/>
                <w:color w:val="000000"/>
                <w:sz w:val="24"/>
              </w:rPr>
              <w:t>与学校已有</w:t>
            </w:r>
            <w:r>
              <w:rPr>
                <w:rFonts w:hint="eastAsia" w:ascii="宋体" w:hAnsi="宋体" w:eastAsia="宋体" w:cs="宋体"/>
                <w:bCs/>
                <w:color w:val="000000"/>
                <w:sz w:val="24"/>
                <w:lang w:val="en-US" w:eastAsia="zh-CN"/>
              </w:rPr>
              <w:t>智慧</w:t>
            </w:r>
            <w:r>
              <w:rPr>
                <w:rFonts w:hint="eastAsia" w:ascii="宋体" w:hAnsi="宋体" w:eastAsia="宋体" w:cs="宋体"/>
                <w:bCs/>
                <w:color w:val="000000"/>
                <w:sz w:val="24"/>
              </w:rPr>
              <w:t>教学</w:t>
            </w:r>
            <w:r>
              <w:rPr>
                <w:rFonts w:hint="eastAsia" w:ascii="宋体" w:hAnsi="宋体" w:eastAsia="宋体" w:cs="宋体"/>
                <w:bCs/>
                <w:color w:val="000000"/>
                <w:sz w:val="24"/>
                <w:lang w:val="en-US" w:eastAsia="zh-CN"/>
              </w:rPr>
              <w:t>系统</w:t>
            </w:r>
            <w:r>
              <w:rPr>
                <w:rFonts w:hint="eastAsia" w:ascii="宋体" w:hAnsi="宋体" w:eastAsia="宋体" w:cs="宋体"/>
                <w:bCs/>
                <w:color w:val="000000"/>
                <w:sz w:val="24"/>
              </w:rPr>
              <w:t>无缝对接，与学校已有课程数据、应用数据如何做好对接、维护工作，确保学校已有数据安全稳定运行使用等</w:t>
            </w:r>
            <w:r>
              <w:rPr>
                <w:rFonts w:hint="eastAsia" w:ascii="宋体" w:hAnsi="宋体" w:eastAsia="宋体" w:cs="宋体"/>
                <w:bCs/>
                <w:color w:val="000000"/>
                <w:sz w:val="24"/>
                <w:lang w:eastAsia="zh-CN"/>
              </w:rPr>
              <w:t>内容</w:t>
            </w:r>
            <w:r>
              <w:rPr>
                <w:rFonts w:hint="eastAsia" w:ascii="宋体" w:hAnsi="宋体" w:eastAsia="宋体" w:cs="宋体"/>
                <w:bCs/>
                <w:color w:val="000000"/>
                <w:sz w:val="24"/>
              </w:rPr>
              <w:t>）进行综合评审：</w:t>
            </w:r>
          </w:p>
          <w:p w14:paraId="4EE36CB4">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对接方案合理可行、完全满足采购需求的，得5分；</w:t>
            </w:r>
          </w:p>
          <w:p w14:paraId="736894D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对接方案合理可行、较能满足采购需求的，得3分；</w:t>
            </w:r>
          </w:p>
          <w:p w14:paraId="5D04558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对接方案可行性一般、与采购需求略有差距的，得1分；</w:t>
            </w:r>
          </w:p>
          <w:p w14:paraId="426FA484">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rPr>
              <w:t>不</w:t>
            </w:r>
            <w:r>
              <w:rPr>
                <w:rFonts w:hint="eastAsia" w:ascii="宋体" w:hAnsi="宋体" w:eastAsia="宋体" w:cs="宋体"/>
                <w:bCs/>
                <w:color w:val="000000"/>
                <w:sz w:val="24"/>
                <w:lang w:val="en-US" w:eastAsia="zh-CN"/>
              </w:rPr>
              <w:t>提供不得分。</w:t>
            </w:r>
          </w:p>
        </w:tc>
      </w:tr>
      <w:tr w14:paraId="152A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033B2FA">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9</w:t>
            </w:r>
          </w:p>
        </w:tc>
        <w:tc>
          <w:tcPr>
            <w:tcW w:w="1884" w:type="dxa"/>
            <w:noWrap/>
            <w:vAlign w:val="center"/>
          </w:tcPr>
          <w:p w14:paraId="3FD3D3DD">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售后服务</w:t>
            </w:r>
            <w:r>
              <w:rPr>
                <w:rFonts w:hint="eastAsia" w:ascii="宋体" w:hAnsi="宋体" w:eastAsia="宋体" w:cs="Times New Roman"/>
                <w:color w:val="000000"/>
                <w:sz w:val="24"/>
                <w:lang w:eastAsia="zh-CN"/>
              </w:rPr>
              <w:t>方案（</w:t>
            </w:r>
            <w:r>
              <w:rPr>
                <w:rFonts w:hint="eastAsia" w:ascii="宋体" w:hAnsi="宋体" w:eastAsia="宋体" w:cs="Times New Roman"/>
                <w:color w:val="000000"/>
                <w:sz w:val="24"/>
                <w:lang w:val="en-US" w:eastAsia="zh-CN"/>
              </w:rPr>
              <w:t>5分</w:t>
            </w:r>
            <w:r>
              <w:rPr>
                <w:rFonts w:hint="eastAsia" w:ascii="宋体" w:hAnsi="宋体" w:eastAsia="宋体" w:cs="Times New Roman"/>
                <w:color w:val="000000"/>
                <w:sz w:val="24"/>
                <w:lang w:eastAsia="zh-CN"/>
              </w:rPr>
              <w:t>）</w:t>
            </w:r>
          </w:p>
        </w:tc>
        <w:tc>
          <w:tcPr>
            <w:tcW w:w="7199" w:type="dxa"/>
            <w:vAlign w:val="center"/>
          </w:tcPr>
          <w:p w14:paraId="36BC8A86">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评委</w:t>
            </w:r>
            <w:r>
              <w:rPr>
                <w:rFonts w:hint="eastAsia" w:ascii="宋体" w:hAnsi="宋体" w:eastAsia="宋体" w:cs="宋体"/>
                <w:bCs/>
                <w:color w:val="000000"/>
                <w:sz w:val="24"/>
              </w:rPr>
              <w:t>根据</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针对本项目提供的</w:t>
            </w:r>
            <w:r>
              <w:rPr>
                <w:rFonts w:hint="eastAsia" w:ascii="宋体" w:hAnsi="宋体" w:eastAsia="宋体" w:cs="宋体"/>
                <w:bCs/>
                <w:color w:val="000000"/>
                <w:sz w:val="24"/>
                <w:lang w:eastAsia="zh-CN"/>
              </w:rPr>
              <w:t>售后</w:t>
            </w:r>
            <w:r>
              <w:rPr>
                <w:rFonts w:hint="eastAsia" w:ascii="宋体" w:hAnsi="宋体" w:eastAsia="宋体" w:cs="宋体"/>
                <w:bCs/>
                <w:color w:val="000000"/>
                <w:sz w:val="24"/>
              </w:rPr>
              <w:t>服务</w:t>
            </w:r>
            <w:r>
              <w:rPr>
                <w:rFonts w:hint="eastAsia" w:ascii="宋体" w:hAnsi="宋体" w:eastAsia="宋体" w:cs="宋体"/>
                <w:bCs/>
                <w:color w:val="000000"/>
                <w:sz w:val="24"/>
                <w:lang w:eastAsia="zh-CN"/>
              </w:rPr>
              <w:t>方案（</w:t>
            </w:r>
            <w:r>
              <w:rPr>
                <w:rFonts w:hint="eastAsia" w:ascii="宋体" w:hAnsi="宋体" w:eastAsia="宋体" w:cs="宋体"/>
                <w:bCs/>
                <w:color w:val="000000"/>
                <w:sz w:val="24"/>
              </w:rPr>
              <w:t>包括</w:t>
            </w:r>
            <w:r>
              <w:rPr>
                <w:rFonts w:hint="eastAsia" w:ascii="宋体" w:hAnsi="宋体" w:eastAsia="宋体" w:cs="宋体"/>
                <w:bCs/>
                <w:color w:val="000000"/>
                <w:sz w:val="24"/>
                <w:lang w:eastAsia="zh-CN"/>
              </w:rPr>
              <w:t>但不限于</w:t>
            </w:r>
            <w:r>
              <w:rPr>
                <w:rFonts w:hint="eastAsia" w:ascii="宋体" w:hAnsi="宋体" w:eastAsia="宋体" w:cs="宋体"/>
                <w:bCs/>
                <w:color w:val="000000"/>
                <w:sz w:val="24"/>
              </w:rPr>
              <w:t>售后服务体系、专业技术人员保障、日常维护方案、</w:t>
            </w:r>
            <w:r>
              <w:rPr>
                <w:rFonts w:hint="eastAsia" w:ascii="宋体" w:hAnsi="宋体" w:eastAsia="宋体" w:cs="宋体"/>
                <w:bCs/>
                <w:color w:val="000000"/>
                <w:sz w:val="24"/>
                <w:lang w:val="en-US" w:eastAsia="zh-CN"/>
              </w:rPr>
              <w:t>培训方案、</w:t>
            </w:r>
            <w:r>
              <w:rPr>
                <w:rFonts w:hint="eastAsia" w:ascii="宋体" w:hAnsi="宋体" w:eastAsia="宋体" w:cs="宋体"/>
                <w:bCs/>
                <w:color w:val="000000"/>
                <w:sz w:val="24"/>
              </w:rPr>
              <w:t>服务范围、响应时间、培训服务、故障解决方案、应急处理方案等</w:t>
            </w:r>
            <w:r>
              <w:rPr>
                <w:rFonts w:hint="eastAsia" w:ascii="宋体" w:hAnsi="宋体" w:eastAsia="宋体" w:cs="宋体"/>
                <w:bCs/>
                <w:color w:val="000000"/>
                <w:sz w:val="24"/>
                <w:lang w:eastAsia="zh-CN"/>
              </w:rPr>
              <w:t>内容）</w:t>
            </w:r>
            <w:r>
              <w:rPr>
                <w:rFonts w:hint="eastAsia" w:ascii="宋体" w:hAnsi="宋体" w:eastAsia="宋体" w:cs="宋体"/>
                <w:bCs/>
                <w:color w:val="000000"/>
                <w:sz w:val="24"/>
              </w:rPr>
              <w:t>进行</w:t>
            </w:r>
            <w:r>
              <w:rPr>
                <w:rFonts w:hint="eastAsia" w:ascii="宋体" w:hAnsi="宋体" w:eastAsia="宋体" w:cs="宋体"/>
                <w:bCs/>
                <w:color w:val="000000"/>
                <w:sz w:val="24"/>
                <w:lang w:eastAsia="zh-CN"/>
              </w:rPr>
              <w:t>综合</w:t>
            </w:r>
            <w:r>
              <w:rPr>
                <w:rFonts w:hint="eastAsia" w:ascii="宋体" w:hAnsi="宋体" w:eastAsia="宋体" w:cs="宋体"/>
                <w:bCs/>
                <w:color w:val="000000"/>
                <w:sz w:val="24"/>
              </w:rPr>
              <w:t>评</w:t>
            </w:r>
            <w:r>
              <w:rPr>
                <w:rFonts w:hint="eastAsia" w:ascii="宋体" w:hAnsi="宋体" w:eastAsia="宋体" w:cs="宋体"/>
                <w:bCs/>
                <w:color w:val="000000"/>
                <w:sz w:val="24"/>
                <w:lang w:eastAsia="zh-CN"/>
              </w:rPr>
              <w:t>审：</w:t>
            </w:r>
          </w:p>
          <w:p w14:paraId="32A3C416">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rPr>
              <w:t>方案详细，可操作性强，完全满足项目需要的，得</w:t>
            </w: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p>
          <w:p w14:paraId="2C8E5351">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rPr>
              <w:t>方案较详细，可操作性较强，基本满足项目需要，略有欠缺需要完善的，得</w:t>
            </w:r>
            <w:r>
              <w:rPr>
                <w:rFonts w:hint="eastAsia" w:ascii="宋体" w:hAnsi="宋体" w:eastAsia="宋体" w:cs="宋体"/>
                <w:bCs/>
                <w:color w:val="000000"/>
                <w:sz w:val="24"/>
                <w:lang w:val="en-US" w:eastAsia="zh-CN"/>
              </w:rPr>
              <w:t>3</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p>
          <w:p w14:paraId="50CA8D53">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rPr>
              <w:t>方案粗略，可操作性差，基本不能满足项目需要的，得</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分</w:t>
            </w:r>
            <w:r>
              <w:rPr>
                <w:rFonts w:hint="eastAsia" w:ascii="宋体" w:hAnsi="宋体" w:eastAsia="宋体" w:cs="宋体"/>
                <w:bCs/>
                <w:color w:val="000000"/>
                <w:sz w:val="24"/>
                <w:lang w:eastAsia="zh-CN"/>
              </w:rPr>
              <w:t>；</w:t>
            </w:r>
          </w:p>
          <w:p w14:paraId="2721610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rPr>
              <w:t>不</w:t>
            </w:r>
            <w:r>
              <w:rPr>
                <w:rFonts w:hint="eastAsia" w:ascii="宋体" w:hAnsi="宋体" w:eastAsia="宋体" w:cs="宋体"/>
                <w:bCs/>
                <w:color w:val="000000"/>
                <w:sz w:val="24"/>
                <w:lang w:val="en-US" w:eastAsia="zh-CN"/>
              </w:rPr>
              <w:t>提供不得分。</w:t>
            </w:r>
          </w:p>
        </w:tc>
      </w:tr>
      <w:tr w14:paraId="59097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D44A22A">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10</w:t>
            </w:r>
          </w:p>
        </w:tc>
        <w:tc>
          <w:tcPr>
            <w:tcW w:w="1884" w:type="dxa"/>
            <w:noWrap/>
            <w:vAlign w:val="center"/>
          </w:tcPr>
          <w:p w14:paraId="6CAFCEAA">
            <w:pPr>
              <w:widowControl/>
              <w:spacing w:line="400" w:lineRule="exact"/>
              <w:jc w:val="center"/>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演示（16分）</w:t>
            </w:r>
          </w:p>
        </w:tc>
        <w:tc>
          <w:tcPr>
            <w:tcW w:w="7199" w:type="dxa"/>
            <w:vAlign w:val="center"/>
          </w:tcPr>
          <w:p w14:paraId="143B280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供应商自带设备对以下内容进行现场演示，演示时间不超过15分钟：</w:t>
            </w:r>
          </w:p>
          <w:p w14:paraId="2CDCC53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1、资源建设：教师在教学资源库建设时可以从平台内置资源中添加电子图书和学术视频，并可以直接进行在线阅读；教师也可以添加平台中的共享资源到教学资源库中。（2分）</w:t>
            </w:r>
          </w:p>
          <w:p w14:paraId="1968A976">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2、支持知识点拓展阅读功能，可以根据一个关键词自动生成相关知识点的知识树，插入到课程单元中，并自动推送知识点相关的图书、期刊、论文等资料。（2分）</w:t>
            </w:r>
          </w:p>
          <w:p w14:paraId="74F218A5">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课程建设者可通过系统推荐或者自行检索将教学资源库中的资源引用到网络课程章节中，并可以设置成为任务点，丰富课程资源；智慧教学系统中的课程资源，也可推送至教学资源库中进行共享，最终达到教学资源库和智慧教学系统双向互通。（2分）</w:t>
            </w:r>
          </w:p>
          <w:p w14:paraId="2D97B660">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4、课程引用资源：教师建设网络课程时，可通过系统推荐或者自行检索将教学资源库中的资源引用到网络课程章节中，并可以设置成为任务点，丰富课程资源。</w:t>
            </w:r>
          </w:p>
          <w:p w14:paraId="613A8F22">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（2分）</w:t>
            </w:r>
          </w:p>
          <w:p w14:paraId="70D56109">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5、支持移动端和PC端多终端审核。使得管理者随时随地都可以审核资源。移动端的资源审核任务以即时通知的形式发送给相关栏目负责人。审核通过的资源才可在资源库中正常使用。（2分）</w:t>
            </w:r>
          </w:p>
          <w:p w14:paraId="424CE07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6、资源库上传资源后，可以进行资源关联知识点（技能点），通过编辑资源属性进行关联，支持一个资源关联多个知识点（技能点）。支持按知识点上传资源，并查看知识点关联资源数量，方便教师按知识点管理资源。支持按模板批量导入题目时导入题目知识点。（2分）</w:t>
            </w:r>
          </w:p>
          <w:p w14:paraId="09B49014">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7、通知：可以在移动客户端选择给指定的人发送通知，并统计已读和未读名单。（2分）</w:t>
            </w:r>
          </w:p>
          <w:p w14:paraId="647A68C5">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8、资源下载：授权下载。被授权具有资源下载权限的用户可直接下载资源库中的资源。支持设置下载密码，对部分资源上传老师或管理员支持对资源设置下载密码，输入密码才能下载。（2分）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6C06E3A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0C58FAE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47509801">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5E4F6B0">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BD89E84">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tbl>
      <w:tblPr>
        <w:tblStyle w:val="22"/>
        <w:tblpPr w:leftFromText="180" w:rightFromText="180" w:vertAnchor="text" w:horzAnchor="page" w:tblpXSpec="center" w:tblpY="222"/>
        <w:tblOverlap w:val="never"/>
        <w:tblW w:w="8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3229"/>
        <w:gridCol w:w="1380"/>
        <w:gridCol w:w="1976"/>
        <w:gridCol w:w="1200"/>
      </w:tblGrid>
      <w:tr w14:paraId="2A14D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97" w:type="dxa"/>
            <w:tcBorders>
              <w:top w:val="single" w:color="auto" w:sz="4" w:space="0"/>
              <w:left w:val="single" w:color="auto" w:sz="4" w:space="0"/>
              <w:bottom w:val="single" w:color="auto" w:sz="4" w:space="0"/>
              <w:right w:val="single" w:color="auto" w:sz="4" w:space="0"/>
            </w:tcBorders>
            <w:noWrap w:val="0"/>
            <w:vAlign w:val="center"/>
          </w:tcPr>
          <w:p w14:paraId="42B6C97F">
            <w:pPr>
              <w:tabs>
                <w:tab w:val="left" w:pos="7560"/>
              </w:tabs>
              <w:spacing w:line="560" w:lineRule="exact"/>
              <w:jc w:val="center"/>
              <w:rPr>
                <w:rFonts w:hint="eastAsia" w:ascii="宋体" w:hAnsi="宋体" w:cs="宋体"/>
                <w:b/>
                <w:bCs/>
                <w:spacing w:val="-5"/>
                <w:sz w:val="28"/>
                <w:szCs w:val="28"/>
              </w:rPr>
            </w:pPr>
            <w:r>
              <w:rPr>
                <w:rFonts w:hint="eastAsia" w:ascii="宋体" w:hAnsi="宋体" w:cs="宋体"/>
                <w:b/>
                <w:bCs/>
                <w:spacing w:val="-5"/>
                <w:sz w:val="28"/>
                <w:szCs w:val="28"/>
              </w:rPr>
              <w:t>序号</w:t>
            </w:r>
          </w:p>
        </w:tc>
        <w:tc>
          <w:tcPr>
            <w:tcW w:w="3229" w:type="dxa"/>
            <w:tcBorders>
              <w:top w:val="single" w:color="auto" w:sz="4" w:space="0"/>
              <w:left w:val="single" w:color="auto" w:sz="4" w:space="0"/>
              <w:bottom w:val="single" w:color="auto" w:sz="4" w:space="0"/>
              <w:right w:val="single" w:color="auto" w:sz="4" w:space="0"/>
            </w:tcBorders>
            <w:noWrap w:val="0"/>
            <w:vAlign w:val="center"/>
          </w:tcPr>
          <w:p w14:paraId="23EAA9B0">
            <w:pPr>
              <w:tabs>
                <w:tab w:val="left" w:pos="7560"/>
              </w:tabs>
              <w:spacing w:line="560" w:lineRule="exact"/>
              <w:jc w:val="center"/>
              <w:rPr>
                <w:rFonts w:hint="eastAsia" w:ascii="宋体" w:hAnsi="宋体" w:cs="宋体"/>
                <w:b/>
                <w:bCs/>
                <w:spacing w:val="-5"/>
                <w:sz w:val="28"/>
                <w:szCs w:val="28"/>
              </w:rPr>
            </w:pPr>
            <w:r>
              <w:rPr>
                <w:rFonts w:hint="eastAsia" w:ascii="宋体" w:hAnsi="宋体" w:cs="宋体"/>
                <w:b/>
                <w:bCs/>
                <w:spacing w:val="-5"/>
                <w:sz w:val="28"/>
                <w:szCs w:val="28"/>
              </w:rPr>
              <w:t>名称</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25712DB1">
            <w:pPr>
              <w:tabs>
                <w:tab w:val="left" w:pos="7560"/>
              </w:tabs>
              <w:spacing w:line="560" w:lineRule="exact"/>
              <w:jc w:val="center"/>
              <w:rPr>
                <w:rFonts w:hint="eastAsia" w:ascii="宋体" w:hAnsi="宋体" w:cs="宋体"/>
                <w:b/>
                <w:bCs/>
                <w:spacing w:val="-5"/>
                <w:sz w:val="28"/>
                <w:szCs w:val="28"/>
              </w:rPr>
            </w:pPr>
            <w:r>
              <w:rPr>
                <w:rFonts w:hint="eastAsia" w:ascii="宋体" w:hAnsi="宋体" w:cs="宋体"/>
                <w:b/>
                <w:bCs/>
                <w:spacing w:val="-5"/>
                <w:sz w:val="28"/>
                <w:szCs w:val="28"/>
              </w:rPr>
              <w:t>单位</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24D524E7">
            <w:pPr>
              <w:tabs>
                <w:tab w:val="left" w:pos="7560"/>
              </w:tabs>
              <w:spacing w:line="560" w:lineRule="exact"/>
              <w:jc w:val="center"/>
              <w:rPr>
                <w:rFonts w:hint="default" w:ascii="宋体" w:hAnsi="宋体" w:eastAsia="宋体" w:cs="宋体"/>
                <w:b/>
                <w:bCs/>
                <w:spacing w:val="-5"/>
                <w:sz w:val="28"/>
                <w:szCs w:val="28"/>
                <w:lang w:val="en-US" w:eastAsia="zh-CN"/>
              </w:rPr>
            </w:pPr>
            <w:r>
              <w:rPr>
                <w:rFonts w:hint="eastAsia" w:ascii="宋体" w:hAnsi="宋体" w:cs="宋体"/>
                <w:b/>
                <w:bCs/>
                <w:spacing w:val="-5"/>
                <w:sz w:val="28"/>
                <w:szCs w:val="28"/>
                <w:lang w:val="en-US" w:eastAsia="zh-CN"/>
              </w:rPr>
              <w:t>功能要求</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503CF4E">
            <w:pPr>
              <w:tabs>
                <w:tab w:val="left" w:pos="7560"/>
              </w:tabs>
              <w:spacing w:line="560" w:lineRule="exact"/>
              <w:jc w:val="center"/>
              <w:rPr>
                <w:rFonts w:hint="eastAsia" w:ascii="宋体" w:hAnsi="宋体" w:cs="宋体"/>
                <w:b/>
                <w:bCs/>
                <w:spacing w:val="-5"/>
                <w:sz w:val="28"/>
                <w:szCs w:val="28"/>
              </w:rPr>
            </w:pPr>
            <w:r>
              <w:rPr>
                <w:rFonts w:hint="eastAsia" w:ascii="宋体" w:hAnsi="宋体" w:cs="宋体"/>
                <w:b/>
                <w:bCs/>
                <w:spacing w:val="-5"/>
                <w:sz w:val="28"/>
                <w:szCs w:val="28"/>
              </w:rPr>
              <w:t>数量</w:t>
            </w:r>
          </w:p>
        </w:tc>
      </w:tr>
      <w:tr w14:paraId="72221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97" w:type="dxa"/>
            <w:tcBorders>
              <w:top w:val="single" w:color="auto" w:sz="4" w:space="0"/>
              <w:left w:val="single" w:color="auto" w:sz="4" w:space="0"/>
              <w:bottom w:val="single" w:color="auto" w:sz="4" w:space="0"/>
              <w:right w:val="single" w:color="auto" w:sz="4" w:space="0"/>
            </w:tcBorders>
            <w:noWrap w:val="0"/>
            <w:vAlign w:val="center"/>
          </w:tcPr>
          <w:p w14:paraId="0F862768">
            <w:pPr>
              <w:tabs>
                <w:tab w:val="left" w:pos="7560"/>
              </w:tabs>
              <w:spacing w:line="560" w:lineRule="exact"/>
              <w:jc w:val="center"/>
              <w:rPr>
                <w:rFonts w:hint="eastAsia" w:ascii="宋体" w:hAnsi="宋体" w:cs="宋体"/>
                <w:spacing w:val="-5"/>
                <w:sz w:val="28"/>
                <w:szCs w:val="28"/>
              </w:rPr>
            </w:pPr>
            <w:r>
              <w:rPr>
                <w:rFonts w:hint="eastAsia" w:ascii="宋体" w:hAnsi="宋体" w:cs="宋体"/>
                <w:spacing w:val="-5"/>
                <w:sz w:val="28"/>
                <w:szCs w:val="28"/>
              </w:rPr>
              <w:t>1</w:t>
            </w:r>
          </w:p>
        </w:tc>
        <w:tc>
          <w:tcPr>
            <w:tcW w:w="3229" w:type="dxa"/>
            <w:tcBorders>
              <w:top w:val="single" w:color="auto" w:sz="4" w:space="0"/>
              <w:left w:val="single" w:color="auto" w:sz="4" w:space="0"/>
              <w:bottom w:val="single" w:color="auto" w:sz="4" w:space="0"/>
              <w:right w:val="single" w:color="auto" w:sz="4" w:space="0"/>
            </w:tcBorders>
            <w:noWrap w:val="0"/>
            <w:vAlign w:val="center"/>
          </w:tcPr>
          <w:p w14:paraId="19AAF249">
            <w:pPr>
              <w:jc w:val="center"/>
              <w:rPr>
                <w:rFonts w:hint="eastAsia" w:ascii="宋体" w:hAnsi="宋体" w:cs="宋体"/>
                <w:color w:val="000000"/>
                <w:sz w:val="28"/>
                <w:szCs w:val="28"/>
              </w:rPr>
            </w:pPr>
            <w:r>
              <w:rPr>
                <w:rFonts w:hint="eastAsia" w:ascii="宋体" w:hAnsi="宋体"/>
                <w:color w:val="000000"/>
                <w:kern w:val="0"/>
                <w:sz w:val="28"/>
                <w:szCs w:val="28"/>
                <w:lang w:val="en-US" w:eastAsia="zh-CN"/>
              </w:rPr>
              <w:t>专业资源库建设</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BCA314C">
            <w:pPr>
              <w:jc w:val="center"/>
              <w:rPr>
                <w:rFonts w:hint="eastAsia" w:ascii="宋体" w:hAnsi="宋体" w:cs="宋体"/>
                <w:color w:val="000000"/>
                <w:sz w:val="28"/>
                <w:szCs w:val="28"/>
              </w:rPr>
            </w:pPr>
            <w:r>
              <w:rPr>
                <w:rFonts w:hint="eastAsia" w:ascii="宋体" w:hAnsi="宋体" w:cs="宋体"/>
                <w:color w:val="000000"/>
                <w:sz w:val="28"/>
                <w:szCs w:val="28"/>
              </w:rPr>
              <w:t>个</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597C2399">
            <w:pPr>
              <w:jc w:val="cente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见下表</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D14194C">
            <w:pPr>
              <w:jc w:val="center"/>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3</w:t>
            </w:r>
          </w:p>
        </w:tc>
      </w:tr>
    </w:tbl>
    <w:p w14:paraId="1F24F63B">
      <w:pPr>
        <w:pStyle w:val="17"/>
        <w:rPr>
          <w:rFonts w:hint="eastAsia"/>
        </w:rPr>
      </w:pP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920"/>
        <w:gridCol w:w="6855"/>
      </w:tblGrid>
      <w:tr w14:paraId="5BD9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noWrap w:val="0"/>
            <w:vAlign w:val="center"/>
          </w:tcPr>
          <w:p w14:paraId="1D664EAB">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功能系统</w:t>
            </w:r>
          </w:p>
        </w:tc>
        <w:tc>
          <w:tcPr>
            <w:tcW w:w="539" w:type="pct"/>
            <w:noWrap w:val="0"/>
            <w:vAlign w:val="center"/>
          </w:tcPr>
          <w:p w14:paraId="2CC595B0">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模块名称</w:t>
            </w:r>
          </w:p>
        </w:tc>
        <w:tc>
          <w:tcPr>
            <w:tcW w:w="4021" w:type="pct"/>
            <w:noWrap w:val="0"/>
            <w:vAlign w:val="center"/>
          </w:tcPr>
          <w:p w14:paraId="5EC20E27">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功能要求</w:t>
            </w:r>
          </w:p>
        </w:tc>
      </w:tr>
      <w:tr w14:paraId="52B1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5" w:hRule="atLeast"/>
        </w:trPr>
        <w:tc>
          <w:tcPr>
            <w:tcW w:w="438" w:type="pct"/>
            <w:vMerge w:val="restart"/>
            <w:noWrap w:val="0"/>
            <w:vAlign w:val="center"/>
          </w:tcPr>
          <w:p w14:paraId="4C8CA0A3">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教学资源库</w:t>
            </w:r>
          </w:p>
        </w:tc>
        <w:tc>
          <w:tcPr>
            <w:tcW w:w="539" w:type="pct"/>
            <w:noWrap w:val="0"/>
            <w:vAlign w:val="center"/>
          </w:tcPr>
          <w:p w14:paraId="54FC5F68">
            <w:pPr>
              <w:bidi w:val="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lang w:val="en-US" w:eastAsia="zh-CN"/>
              </w:rPr>
              <w:t>资源库站点管理</w:t>
            </w:r>
          </w:p>
        </w:tc>
        <w:tc>
          <w:tcPr>
            <w:tcW w:w="4021" w:type="pct"/>
            <w:noWrap w:val="0"/>
            <w:vAlign w:val="center"/>
          </w:tcPr>
          <w:p w14:paraId="625AC8EA">
            <w:pPr>
              <w:numPr>
                <w:ilvl w:val="0"/>
                <w:numId w:val="1"/>
              </w:num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超级管理员和资源库管理员可以新建资源库专业站点，设置或修改站点名称、负责人和封面图，可以删除或查询站点。在同一页面实现对站点的“增删改查”。专业负责人可以在资源库站点管理页面看到所负责的专业站点。</w:t>
            </w:r>
          </w:p>
          <w:p w14:paraId="3B0468B8">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创建多站点：每个专业教学资源库可拥有独立一个站点，每个站点即一个专业教学资源库，平台下系统管理员登录后台后，可创建多站点，并指定某一专业负责人（教师用户），作为该站点的负责人。专业教学资源库每个站点都是完整的一套网站，在后台管理中，系统管理员可对每个站点样式、导航等信息进行设置管理。</w:t>
            </w:r>
          </w:p>
          <w:p w14:paraId="22169C31">
            <w:pPr>
              <w:widowControl w:val="0"/>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站点导航与栏目：每个站点一套独立导航和栏目管理。专业教学资源库导航栏支持包括导航在内的至少5级栏目建设。</w:t>
            </w:r>
          </w:p>
          <w:p w14:paraId="24E6A4F7">
            <w:p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）在资源库管理中可以对教学专业资源库进行专业层次、专业目录</w:t>
            </w:r>
            <w:r>
              <w:rPr>
                <w:rFonts w:hint="eastAsia" w:ascii="宋体" w:hAnsi="宋体" w:eastAsia="宋体" w:cs="宋体"/>
                <w:color w:val="auto"/>
                <w:sz w:val="24"/>
                <w:szCs w:val="24"/>
                <w:lang w:val="en-US" w:eastAsia="zh-CN"/>
              </w:rPr>
              <w:t>设置；对齐教育部政策，支持主持和参建单位进行具体类型上的划分；</w:t>
            </w:r>
            <w:r>
              <w:rPr>
                <w:rFonts w:hint="eastAsia" w:ascii="宋体" w:hAnsi="宋体" w:eastAsia="宋体" w:cs="宋体"/>
                <w:color w:val="auto"/>
                <w:sz w:val="24"/>
                <w:szCs w:val="24"/>
                <w:lang w:eastAsia="zh-CN"/>
              </w:rPr>
              <w:t>支持设置所属专业和服务专业；可以进行人才培养方案、专业建设标准、介绍视频和（仅支持m4v、mp4格式的视频）资源库介绍（支持附件上传）的上传和编辑。</w:t>
            </w:r>
          </w:p>
        </w:tc>
      </w:tr>
      <w:tr w14:paraId="7868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438" w:type="pct"/>
            <w:vMerge w:val="continue"/>
            <w:noWrap w:val="0"/>
            <w:vAlign w:val="center"/>
          </w:tcPr>
          <w:p w14:paraId="5913EE50">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649115CE">
            <w:pPr>
              <w:bidi w:val="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专业管理</w:t>
            </w:r>
          </w:p>
        </w:tc>
        <w:tc>
          <w:tcPr>
            <w:tcW w:w="4021" w:type="pct"/>
            <w:noWrap w:val="0"/>
            <w:vAlign w:val="center"/>
          </w:tcPr>
          <w:p w14:paraId="48F59366">
            <w:pPr>
              <w:widowControl w:val="0"/>
              <w:numPr>
                <w:ilvl w:val="0"/>
                <w:numId w:val="0"/>
              </w:numPr>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在专业管理功能中可以对站点中的专业进行管理，支持单独专业站点的形式和添加其他专业进行组群的专业群形式。可以实现在专业群站点对添加进来的组群专业站点的资源管理和数据统计。</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rPr>
              <w:t>编辑</w:t>
            </w:r>
            <w:r>
              <w:rPr>
                <w:rFonts w:hint="eastAsia" w:ascii="宋体" w:hAnsi="宋体" w:eastAsia="宋体" w:cs="宋体"/>
                <w:color w:val="auto"/>
                <w:sz w:val="24"/>
                <w:szCs w:val="24"/>
                <w:lang w:eastAsia="zh-Hans"/>
              </w:rPr>
              <w:t>修改专业名称、添加专业群/专业的负责人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Hans"/>
              </w:rPr>
              <w:t>设置专业所属大类和专业类、上传专业卡片封面等操作</w:t>
            </w:r>
            <w:r>
              <w:rPr>
                <w:rFonts w:hint="eastAsia" w:ascii="宋体" w:hAnsi="宋体" w:eastAsia="宋体" w:cs="宋体"/>
                <w:color w:val="auto"/>
                <w:sz w:val="24"/>
                <w:szCs w:val="24"/>
                <w:lang w:eastAsia="zh-CN"/>
              </w:rPr>
              <w:t>。</w:t>
            </w:r>
          </w:p>
        </w:tc>
      </w:tr>
      <w:tr w14:paraId="39C6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438" w:type="pct"/>
            <w:vMerge w:val="continue"/>
            <w:noWrap w:val="0"/>
            <w:vAlign w:val="center"/>
          </w:tcPr>
          <w:p w14:paraId="3E64E7CE">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5A0EFDB5">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门户管理</w:t>
            </w:r>
          </w:p>
        </w:tc>
        <w:tc>
          <w:tcPr>
            <w:tcW w:w="4021" w:type="pct"/>
            <w:noWrap w:val="0"/>
            <w:vAlign w:val="center"/>
          </w:tcPr>
          <w:p w14:paraId="110668B1">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平台门户管理和站点门户管理：提供充分展示学校教学特色的门户网站，实现新闻公告动态显示、精品资源推荐、热门资源排行、一站式检索以及学校的教学资源与课程展示。具有校园代表性的大图片展示区。门户管理功能支持门户配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在门户配置中，可实现对门户管理后台的操作，智慧门户编辑、门户登录设置、模块数据统计等。可直接在门户后台对各模块的内容进行设置，也可编辑网页对门户整体布局进行设计。</w:t>
            </w:r>
          </w:p>
          <w:p w14:paraId="54C80477">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具备信息发布和页面自定义、访问统计分析、统一检索等功能。</w:t>
            </w:r>
          </w:p>
          <w:p w14:paraId="4BA87A6A">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具备精品资源的展示以及后台推荐控制功能。</w:t>
            </w:r>
          </w:p>
          <w:p w14:paraId="2E66CC91">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具备多种资源排行展示，如精品课程排行、课程网站排行、课程资料排行等。</w:t>
            </w:r>
          </w:p>
          <w:p w14:paraId="01ED8046">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可以对本校资源进行搜索。</w:t>
            </w:r>
          </w:p>
          <w:p w14:paraId="16285BB5">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需要根据学校具体要求，定制、设计门户网站</w:t>
            </w:r>
          </w:p>
          <w:p w14:paraId="2941A6DF">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支持在首页展示人才培养方案、知识图谱、岗位能力模型、虚拟教研、特色培训等国家级资源库要求的必要内容及学校的特色模块。课程、学生人数、所属机构、知识点数、知识点资源数等数据在门户实时更新。</w:t>
            </w:r>
          </w:p>
          <w:p w14:paraId="4DCBD6DC">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（7）门户编辑支持可视化，可拖拽式的智慧门户搭建，减少门户制作的操作成本。</w:t>
            </w:r>
          </w:p>
          <w:p w14:paraId="27E5A61C">
            <w:pPr>
              <w:bidi w:val="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（8）门户管理后台支持设置门户管理员及其他管理角色，支持按角色分配不同的管理权限。</w:t>
            </w:r>
          </w:p>
        </w:tc>
      </w:tr>
      <w:tr w14:paraId="1177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3" w:hRule="atLeast"/>
        </w:trPr>
        <w:tc>
          <w:tcPr>
            <w:tcW w:w="438" w:type="pct"/>
            <w:vMerge w:val="continue"/>
            <w:noWrap w:val="0"/>
            <w:vAlign w:val="center"/>
          </w:tcPr>
          <w:p w14:paraId="045C170C">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0B1EE89F">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数据管理</w:t>
            </w:r>
          </w:p>
        </w:tc>
        <w:tc>
          <w:tcPr>
            <w:tcW w:w="4021" w:type="pct"/>
            <w:noWrap w:val="0"/>
            <w:vAlign w:val="center"/>
          </w:tcPr>
          <w:p w14:paraId="7403A9CF">
            <w:pPr>
              <w:bidi w:val="0"/>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支持查看当前资源库的基础数据。可以自由配置是否门户中显示。包括今日访问量、总访问量、素材总数、课程总数、用户总数、资源存储量、试题总量、视频总时长、企业人数、教师人数、学生人数、社会人数、视频总时长、标准化课程总数、资源活跃率、资源引用率等。</w:t>
            </w:r>
          </w:p>
        </w:tc>
      </w:tr>
      <w:tr w14:paraId="24F4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37CDB8AC">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76393384">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资源管理</w:t>
            </w:r>
          </w:p>
        </w:tc>
        <w:tc>
          <w:tcPr>
            <w:tcW w:w="4021" w:type="pct"/>
            <w:noWrap w:val="0"/>
            <w:vAlign w:val="center"/>
          </w:tcPr>
          <w:p w14:paraId="2C30F61B">
            <w:pPr>
              <w:widowControl w:val="0"/>
              <w:numPr>
                <w:ilvl w:val="0"/>
                <w:numId w:val="2"/>
              </w:numPr>
              <w:jc w:val="both"/>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在资源管理功能中，支持对当前专业资源库的课程、素材、题库、试题进行增加、删除、修改、审核通过等管理。</w:t>
            </w:r>
          </w:p>
          <w:p w14:paraId="24742DE0">
            <w:pPr>
              <w:numPr>
                <w:ilvl w:val="0"/>
                <w:numId w:val="2"/>
              </w:numPr>
              <w:bidi w:val="0"/>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课程管理中：</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lang w:eastAsia="zh-CN"/>
              </w:rPr>
              <w:t>筛选项进行查询不同单位，不同状态，以及是否有知识图谱的课程。选择对应课程分类后，可以通过创建、模板导入、链接添加、课程库导入等方式进行添加课程。</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lang w:eastAsia="zh-CN"/>
              </w:rPr>
              <w:t>编辑课程是否标记为</w:t>
            </w:r>
            <w:r>
              <w:rPr>
                <w:rFonts w:hint="eastAsia" w:ascii="宋体" w:hAnsi="宋体" w:eastAsia="宋体" w:cs="宋体"/>
                <w:color w:val="auto"/>
                <w:sz w:val="24"/>
                <w:szCs w:val="24"/>
                <w:lang w:val="en-US" w:eastAsia="zh-CN"/>
              </w:rPr>
              <w:t>课程模板</w:t>
            </w:r>
            <w:r>
              <w:rPr>
                <w:rFonts w:hint="eastAsia" w:ascii="宋体" w:hAnsi="宋体" w:eastAsia="宋体" w:cs="宋体"/>
                <w:color w:val="auto"/>
                <w:sz w:val="24"/>
                <w:szCs w:val="24"/>
                <w:lang w:eastAsia="zh-CN"/>
              </w:rPr>
              <w:t>，支持校内其他教师直接进行引用课程创建；</w:t>
            </w:r>
            <w:r>
              <w:rPr>
                <w:rFonts w:hint="eastAsia" w:ascii="宋体" w:hAnsi="宋体" w:eastAsia="宋体" w:cs="宋体"/>
                <w:color w:val="auto"/>
                <w:sz w:val="24"/>
                <w:szCs w:val="24"/>
                <w:lang w:val="en-US" w:eastAsia="zh-CN"/>
              </w:rPr>
              <w:t>支持删除，即将</w:t>
            </w:r>
            <w:r>
              <w:rPr>
                <w:rFonts w:hint="eastAsia" w:ascii="宋体" w:hAnsi="宋体" w:eastAsia="宋体" w:cs="宋体"/>
                <w:color w:val="auto"/>
                <w:sz w:val="24"/>
                <w:szCs w:val="24"/>
                <w:lang w:eastAsia="zh-CN"/>
              </w:rPr>
              <w:t>课程进行移除出本资源库；上架/下架是否允许校内其他教师直接引用被标记为</w:t>
            </w:r>
            <w:r>
              <w:rPr>
                <w:rFonts w:hint="eastAsia" w:ascii="宋体" w:hAnsi="宋体" w:eastAsia="宋体" w:cs="宋体"/>
                <w:color w:val="auto"/>
                <w:sz w:val="24"/>
                <w:szCs w:val="24"/>
                <w:lang w:val="en-US" w:eastAsia="zh-CN"/>
              </w:rPr>
              <w:t>课程模板</w:t>
            </w:r>
            <w:r>
              <w:rPr>
                <w:rFonts w:hint="eastAsia" w:ascii="宋体" w:hAnsi="宋体" w:eastAsia="宋体" w:cs="宋体"/>
                <w:color w:val="auto"/>
                <w:sz w:val="24"/>
                <w:szCs w:val="24"/>
                <w:lang w:eastAsia="zh-CN"/>
              </w:rPr>
              <w:t>的课程；查看引用，指可以查询被标记为示范教学包的课程引用出去的数据，</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lang w:eastAsia="zh-CN"/>
              </w:rPr>
              <w:t>资源库引用示范教学包建课。</w:t>
            </w:r>
          </w:p>
          <w:p w14:paraId="3A3A9C8A">
            <w:pPr>
              <w:numPr>
                <w:ilvl w:val="0"/>
                <w:numId w:val="2"/>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素材管理：</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lang w:eastAsia="zh-CN"/>
              </w:rPr>
              <w:t>筛选项进行查询对应条件的素材，</w:t>
            </w: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lang w:eastAsia="zh-CN"/>
              </w:rPr>
              <w:t>对素材进行删除、信息和分类修改、素材下架、素材审核。素材可以从本单位课程添加、单独上传、跨单位添加，给素材打不同的标签内容，如知识点、技能点。</w:t>
            </w:r>
          </w:p>
          <w:p w14:paraId="71A66E9D">
            <w:pPr>
              <w:numPr>
                <w:ilvl w:val="0"/>
                <w:numId w:val="2"/>
              </w:numPr>
              <w:bidi w:val="0"/>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题库管理：可以根据不同分类创建相应的题库，支持题库多条件筛选；添加方式可以通过单独创建、智能导入、模板导入、课程导入；题库支持批量删除、批量审核、批量移动和导出。</w:t>
            </w:r>
          </w:p>
          <w:p w14:paraId="59D3C54E">
            <w:pPr>
              <w:numPr>
                <w:ilvl w:val="0"/>
                <w:numId w:val="2"/>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试题管理</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支持试题标签，可以通过课程库课程导入和考试系统同步，可以通过不同条件进行筛选，对题目进行删除和上架/下架操作。</w:t>
            </w:r>
          </w:p>
        </w:tc>
      </w:tr>
      <w:tr w14:paraId="0727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0A1EFF60">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0C50DA75">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数据统计</w:t>
            </w:r>
          </w:p>
        </w:tc>
        <w:tc>
          <w:tcPr>
            <w:tcW w:w="4021" w:type="pct"/>
            <w:noWrap w:val="0"/>
            <w:vAlign w:val="center"/>
          </w:tcPr>
          <w:p w14:paraId="0E97C5B2">
            <w:pPr>
              <w:bidi w:val="0"/>
              <w:ind w:firstLine="42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为方便学校管理者对资源建设情况详细了解，从而及时督促工作，平台</w:t>
            </w:r>
            <w:r>
              <w:rPr>
                <w:rFonts w:hint="eastAsia" w:ascii="宋体" w:hAnsi="宋体" w:eastAsia="宋体" w:cs="宋体"/>
                <w:color w:val="auto"/>
                <w:sz w:val="24"/>
                <w:szCs w:val="24"/>
                <w:lang w:val="en-US" w:eastAsia="zh-CN"/>
              </w:rPr>
              <w:t>需</w:t>
            </w:r>
            <w:r>
              <w:rPr>
                <w:rFonts w:hint="eastAsia" w:ascii="宋体" w:hAnsi="宋体" w:eastAsia="宋体" w:cs="宋体"/>
                <w:color w:val="auto"/>
                <w:sz w:val="24"/>
                <w:szCs w:val="24"/>
              </w:rPr>
              <w:t>提供详细的资源建设情况统计分析功能和课程相关统计分析功能。</w:t>
            </w:r>
          </w:p>
          <w:p w14:paraId="74D9A382">
            <w:pPr>
              <w:bidi w:val="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）基本数据统计：</w:t>
            </w:r>
            <w:r>
              <w:rPr>
                <w:rFonts w:hint="eastAsia" w:ascii="宋体" w:hAnsi="宋体" w:eastAsia="宋体" w:cs="宋体"/>
                <w:color w:val="auto"/>
                <w:sz w:val="24"/>
                <w:szCs w:val="24"/>
                <w:lang w:eastAsia="zh-Hans"/>
              </w:rPr>
              <w:t>管理员可以查看专业资源库的基本数据统计，包括资源总数、各类型资源分别的个数、</w:t>
            </w:r>
            <w:r>
              <w:rPr>
                <w:rFonts w:hint="eastAsia" w:ascii="宋体" w:hAnsi="宋体" w:eastAsia="宋体" w:cs="宋体"/>
                <w:color w:val="auto"/>
                <w:sz w:val="24"/>
                <w:szCs w:val="24"/>
              </w:rPr>
              <w:t>课程总数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Hans"/>
              </w:rPr>
              <w:t>存储总量、</w:t>
            </w:r>
            <w:r>
              <w:rPr>
                <w:rFonts w:hint="eastAsia" w:ascii="宋体" w:hAnsi="宋体" w:eastAsia="宋体" w:cs="宋体"/>
                <w:color w:val="auto"/>
                <w:sz w:val="24"/>
                <w:szCs w:val="24"/>
              </w:rPr>
              <w:t>微课总数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Hans"/>
              </w:rPr>
              <w:t>视频总时长、试题总数等基本数据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支持查看</w:t>
            </w:r>
            <w:r>
              <w:rPr>
                <w:rFonts w:hint="eastAsia" w:ascii="宋体" w:hAnsi="宋体" w:eastAsia="宋体" w:cs="宋体"/>
                <w:color w:val="auto"/>
                <w:sz w:val="24"/>
                <w:szCs w:val="24"/>
                <w:lang w:eastAsia="zh-Hans"/>
              </w:rPr>
              <w:t>各个类型的资源上传更新的情况</w:t>
            </w:r>
            <w:r>
              <w:rPr>
                <w:rFonts w:hint="eastAsia" w:ascii="宋体" w:hAnsi="宋体" w:eastAsia="宋体" w:cs="宋体"/>
                <w:color w:val="auto"/>
                <w:sz w:val="24"/>
                <w:szCs w:val="24"/>
                <w:lang w:val="en-US" w:eastAsia="zh-CN"/>
              </w:rPr>
              <w:t>及</w:t>
            </w:r>
            <w:r>
              <w:rPr>
                <w:rFonts w:hint="eastAsia" w:ascii="宋体" w:hAnsi="宋体" w:eastAsia="宋体" w:cs="宋体"/>
                <w:color w:val="auto"/>
                <w:sz w:val="24"/>
                <w:szCs w:val="24"/>
                <w:lang w:eastAsia="zh-Hans"/>
              </w:rPr>
              <w:t>终端访问、媒体类型、存储占比、原创资源占比、活跃资源占比、适用对象统计等。</w:t>
            </w:r>
          </w:p>
          <w:p w14:paraId="43BAF4AA">
            <w:p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）资源使用统计：</w:t>
            </w:r>
            <w:r>
              <w:rPr>
                <w:rFonts w:hint="eastAsia" w:ascii="宋体" w:hAnsi="宋体" w:eastAsia="宋体" w:cs="宋体"/>
                <w:color w:val="auto"/>
                <w:sz w:val="24"/>
                <w:szCs w:val="24"/>
              </w:rPr>
              <w:t>管理员可查看资源库的素材总数，资源浏览量，资源下载量，资源收藏量，资源评论数、资源使用详情等。</w:t>
            </w:r>
          </w:p>
          <w:p w14:paraId="74B2950D">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）资源引用统计：</w:t>
            </w:r>
            <w:r>
              <w:rPr>
                <w:rFonts w:hint="eastAsia" w:ascii="宋体" w:hAnsi="宋体" w:eastAsia="宋体" w:cs="宋体"/>
                <w:color w:val="auto"/>
                <w:sz w:val="24"/>
                <w:szCs w:val="24"/>
              </w:rPr>
              <w:t>管理员可以查看资源库的资源引用情况，素材总数、引用量、引用次数、组课率等。</w:t>
            </w:r>
          </w:p>
          <w:p w14:paraId="7A815369">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）访问量统计：</w:t>
            </w:r>
            <w:r>
              <w:rPr>
                <w:rFonts w:hint="eastAsia" w:ascii="宋体" w:hAnsi="宋体" w:eastAsia="宋体" w:cs="宋体"/>
                <w:color w:val="auto"/>
                <w:sz w:val="24"/>
                <w:szCs w:val="24"/>
              </w:rPr>
              <w:t>管理员可以查看资源库的访问量统计数据，包括资源的浏览次数（PV）、访问IP数、点击量、累计使用时长、交流互动次数等。</w:t>
            </w:r>
          </w:p>
          <w:p w14:paraId="44C89C03">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用户统计：</w:t>
            </w:r>
            <w:r>
              <w:rPr>
                <w:rFonts w:hint="eastAsia" w:ascii="宋体" w:hAnsi="宋体" w:eastAsia="宋体" w:cs="宋体"/>
                <w:color w:val="auto"/>
                <w:sz w:val="24"/>
                <w:szCs w:val="24"/>
              </w:rPr>
              <w:t>管理员可以查看资源库的用户使用详情统计，包括用户分布、活跃度，详细信息如收藏资源数、引用资源数、浏览资源数、下载资源数、评论资源数等内容。</w:t>
            </w:r>
          </w:p>
          <w:p w14:paraId="3FD63659">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bookmarkStart w:id="9" w:name="_Toc1565699451"/>
            <w:r>
              <w:rPr>
                <w:rFonts w:hint="eastAsia" w:ascii="宋体" w:hAnsi="宋体" w:eastAsia="宋体" w:cs="宋体"/>
                <w:color w:val="auto"/>
                <w:sz w:val="24"/>
                <w:szCs w:val="24"/>
              </w:rPr>
              <w:t>课程</w:t>
            </w:r>
            <w:r>
              <w:rPr>
                <w:rFonts w:hint="eastAsia" w:ascii="宋体" w:hAnsi="宋体" w:eastAsia="宋体" w:cs="宋体"/>
                <w:color w:val="auto"/>
                <w:sz w:val="24"/>
                <w:szCs w:val="24"/>
                <w:lang w:eastAsia="zh-Hans"/>
              </w:rPr>
              <w:t>排行</w:t>
            </w:r>
            <w:r>
              <w:rPr>
                <w:rFonts w:hint="eastAsia" w:ascii="宋体" w:hAnsi="宋体" w:eastAsia="宋体" w:cs="宋体"/>
                <w:color w:val="auto"/>
                <w:sz w:val="24"/>
                <w:szCs w:val="24"/>
              </w:rPr>
              <w:t>统计</w:t>
            </w:r>
            <w:bookmarkEnd w:id="9"/>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课程</w:t>
            </w:r>
            <w:r>
              <w:rPr>
                <w:rFonts w:hint="eastAsia" w:ascii="宋体" w:hAnsi="宋体" w:eastAsia="宋体" w:cs="宋体"/>
                <w:color w:val="auto"/>
                <w:sz w:val="24"/>
                <w:szCs w:val="24"/>
                <w:lang w:eastAsia="zh-Hans"/>
              </w:rPr>
              <w:t>排行</w:t>
            </w:r>
            <w:r>
              <w:rPr>
                <w:rFonts w:hint="eastAsia" w:ascii="宋体" w:hAnsi="宋体" w:eastAsia="宋体" w:cs="宋体"/>
                <w:color w:val="auto"/>
                <w:sz w:val="24"/>
                <w:szCs w:val="24"/>
              </w:rPr>
              <w:t>可以统计出本站点下访问</w:t>
            </w:r>
            <w:r>
              <w:rPr>
                <w:rFonts w:hint="eastAsia" w:ascii="宋体" w:hAnsi="宋体" w:eastAsia="宋体" w:cs="宋体"/>
                <w:color w:val="auto"/>
                <w:sz w:val="24"/>
                <w:szCs w:val="24"/>
                <w:lang w:eastAsia="zh-Hans"/>
              </w:rPr>
              <w:t>数、教授学生数、发布作业数、讨论总数、回帖总数、资料总数、任务点数、题目总数</w:t>
            </w:r>
            <w:r>
              <w:rPr>
                <w:rFonts w:hint="eastAsia" w:ascii="宋体" w:hAnsi="宋体" w:eastAsia="宋体" w:cs="宋体"/>
                <w:color w:val="auto"/>
                <w:sz w:val="24"/>
                <w:szCs w:val="24"/>
              </w:rPr>
              <w:t>排行前10的课程。</w:t>
            </w:r>
          </w:p>
          <w:p w14:paraId="300D7A81">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bookmarkStart w:id="10" w:name="_Toc1593546266"/>
            <w:r>
              <w:rPr>
                <w:rFonts w:hint="eastAsia" w:ascii="宋体" w:hAnsi="宋体" w:eastAsia="宋体" w:cs="宋体"/>
                <w:color w:val="auto"/>
                <w:sz w:val="24"/>
                <w:szCs w:val="24"/>
                <w:lang w:eastAsia="zh-Hans"/>
              </w:rPr>
              <w:t>课程详细情况统计</w:t>
            </w:r>
            <w:bookmarkEnd w:id="10"/>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持详细查看每门课程的访问数、教授班级数、教授学生数、发布作业数、发布考试数、PBL数量、发帖总数、回帖总数、讨论总数、音视频总时长、专题阅读总时长，方便老师对整个课程有一个宏观的了解。</w:t>
            </w:r>
          </w:p>
          <w:p w14:paraId="752F7390">
            <w:pPr>
              <w:bidi w:val="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bookmarkStart w:id="11" w:name="_Toc1463530925"/>
            <w:r>
              <w:rPr>
                <w:rFonts w:hint="eastAsia" w:ascii="宋体" w:hAnsi="宋体" w:eastAsia="宋体" w:cs="宋体"/>
                <w:color w:val="auto"/>
                <w:sz w:val="24"/>
                <w:szCs w:val="24"/>
                <w:lang w:eastAsia="zh-Hans"/>
              </w:rPr>
              <w:t>教学统计</w:t>
            </w:r>
            <w:bookmarkEnd w:id="11"/>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Hans"/>
              </w:rPr>
              <w:t>教学统计支持查看站点下各教师的教学档案，包括教师教学课程和建设课程的基本数据统计，例如：课程的访问数、教授班级数、教授学生数、发布作业数、发布考试数、pbl数量、发帖总数、回帖总数、讨论总数等。</w:t>
            </w:r>
          </w:p>
          <w:p w14:paraId="3D27ADF6">
            <w:pPr>
              <w:bidi w:val="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bookmarkStart w:id="12" w:name="_Toc286563737"/>
            <w:r>
              <w:rPr>
                <w:rFonts w:hint="eastAsia" w:ascii="宋体" w:hAnsi="宋体" w:eastAsia="宋体" w:cs="宋体"/>
                <w:color w:val="auto"/>
                <w:sz w:val="24"/>
                <w:szCs w:val="24"/>
                <w:lang w:eastAsia="zh-Hans"/>
              </w:rPr>
              <w:t>学习统计</w:t>
            </w:r>
            <w:bookmarkEnd w:id="12"/>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为了让学校更好的了解学生的学习情况，学生学习统计主要是以学生为中心，统计学生的学习情况，</w:t>
            </w:r>
            <w:r>
              <w:rPr>
                <w:rFonts w:hint="eastAsia" w:ascii="宋体" w:hAnsi="宋体" w:eastAsia="宋体" w:cs="宋体"/>
                <w:color w:val="auto"/>
                <w:sz w:val="24"/>
                <w:szCs w:val="24"/>
                <w:lang w:eastAsia="zh-Hans"/>
              </w:rPr>
              <w:t>包括：任务点完成数、作业完成数、考试完成数、章节测验完成数、观看视频数、观看视频时长、发帖总数、回帖总数、讨论总数、考试平均分。</w:t>
            </w:r>
          </w:p>
          <w:p w14:paraId="491F3667">
            <w:pPr>
              <w:bidi w:val="0"/>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bookmarkStart w:id="13" w:name="_Toc1618391185"/>
            <w:r>
              <w:rPr>
                <w:rFonts w:hint="eastAsia" w:ascii="宋体" w:hAnsi="宋体" w:eastAsia="宋体" w:cs="宋体"/>
                <w:color w:val="auto"/>
                <w:sz w:val="24"/>
                <w:szCs w:val="24"/>
                <w:lang w:eastAsia="zh-Hans"/>
              </w:rPr>
              <w:t>日志统计</w:t>
            </w:r>
            <w:bookmarkEnd w:id="13"/>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支持图表查看资源库应用用户、访问量、资源更新的日常情况变化。支持查看用户行为分析及操作模块情况统计并支持查看资源库操作日志。</w:t>
            </w:r>
          </w:p>
        </w:tc>
      </w:tr>
      <w:tr w14:paraId="0F58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18763AE4">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6985AAE4">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监测数据</w:t>
            </w:r>
          </w:p>
        </w:tc>
        <w:tc>
          <w:tcPr>
            <w:tcW w:w="4021" w:type="pct"/>
            <w:noWrap w:val="0"/>
            <w:vAlign w:val="center"/>
          </w:tcPr>
          <w:p w14:paraId="67F0D6DF">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管理员可以通过数据概览查看本资源库的数据报表、查看数据推送情况和本资源库对标国家检测平台的监测数据情况，及时了解本资源库的数据。</w:t>
            </w:r>
          </w:p>
        </w:tc>
      </w:tr>
      <w:tr w14:paraId="019F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438" w:type="pct"/>
            <w:vMerge w:val="continue"/>
            <w:noWrap w:val="0"/>
            <w:vAlign w:val="center"/>
          </w:tcPr>
          <w:p w14:paraId="5F4A3B76">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07C602B1">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机构信息管理</w:t>
            </w:r>
          </w:p>
        </w:tc>
        <w:tc>
          <w:tcPr>
            <w:tcW w:w="4021" w:type="pct"/>
            <w:noWrap w:val="0"/>
            <w:vAlign w:val="center"/>
          </w:tcPr>
          <w:p w14:paraId="7E6642AD">
            <w:pPr>
              <w:bidi w:val="0"/>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在机构信息管理中，可以添加资源库的共建院校和参建单位，实现</w:t>
            </w:r>
            <w:r>
              <w:rPr>
                <w:rFonts w:hint="eastAsia" w:ascii="宋体" w:hAnsi="宋体" w:eastAsia="宋体" w:cs="宋体"/>
                <w:color w:val="auto"/>
                <w:sz w:val="24"/>
                <w:szCs w:val="24"/>
                <w:lang w:eastAsia="zh-Hans"/>
              </w:rPr>
              <w:t>联盟共建管理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跨单位资源建设和引用。支持</w:t>
            </w:r>
            <w:r>
              <w:rPr>
                <w:rFonts w:hint="eastAsia" w:ascii="宋体" w:hAnsi="宋体" w:eastAsia="宋体" w:cs="宋体"/>
                <w:color w:val="auto"/>
                <w:sz w:val="24"/>
                <w:szCs w:val="24"/>
                <w:lang w:val="en-US" w:eastAsia="zh-CN"/>
              </w:rPr>
              <w:t>资源库</w:t>
            </w:r>
            <w:r>
              <w:rPr>
                <w:rFonts w:hint="eastAsia" w:ascii="宋体" w:hAnsi="宋体" w:eastAsia="宋体" w:cs="宋体"/>
                <w:color w:val="auto"/>
                <w:sz w:val="24"/>
                <w:szCs w:val="24"/>
              </w:rPr>
              <w:t>进行跨单位使用和建设。</w:t>
            </w:r>
          </w:p>
        </w:tc>
      </w:tr>
      <w:tr w14:paraId="29C2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082E37F9">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46B25832">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用户管理</w:t>
            </w:r>
          </w:p>
        </w:tc>
        <w:tc>
          <w:tcPr>
            <w:tcW w:w="4021" w:type="pct"/>
            <w:noWrap w:val="0"/>
            <w:vAlign w:val="center"/>
          </w:tcPr>
          <w:p w14:paraId="448ADFEB">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在用户管理功能中，支持对当前专业资源库的注册用户进行管理。包括四种角色：教师用户、学生用户、企业用户、社会用户等。可实现添加各类用户并对用户信息进行查看、筛选和删除操作。</w:t>
            </w:r>
          </w:p>
          <w:p w14:paraId="2DA25956">
            <w:pPr>
              <w:numPr>
                <w:ilvl w:val="0"/>
                <w:numId w:val="3"/>
              </w:num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支持转化用户，将已毕业的学生批量转化为社会或企业用户。</w:t>
            </w:r>
          </w:p>
          <w:p w14:paraId="3978267A">
            <w:pPr>
              <w:numPr>
                <w:ilvl w:val="0"/>
                <w:numId w:val="3"/>
              </w:numPr>
              <w:bidi w:val="0"/>
              <w:ind w:left="0" w:leftChars="0" w:firstLine="0" w:firstLineChars="0"/>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lang w:val="en-US" w:eastAsia="zh-CN"/>
              </w:rPr>
              <w:t>支持添加共建单位用户，支持批量添加或导入。支持导入社会用户及企业用户。</w:t>
            </w:r>
          </w:p>
        </w:tc>
      </w:tr>
      <w:tr w14:paraId="0C30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029F18FE">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1A1E9BFC">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权限管理</w:t>
            </w:r>
          </w:p>
        </w:tc>
        <w:tc>
          <w:tcPr>
            <w:tcW w:w="4021" w:type="pct"/>
            <w:noWrap w:val="0"/>
            <w:vAlign w:val="center"/>
          </w:tcPr>
          <w:p w14:paraId="4DA0B118">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权限管理功能包括</w:t>
            </w:r>
            <w:r>
              <w:rPr>
                <w:rFonts w:hint="eastAsia" w:ascii="宋体" w:hAnsi="宋体" w:eastAsia="宋体" w:cs="宋体"/>
                <w:color w:val="auto"/>
                <w:sz w:val="24"/>
                <w:szCs w:val="24"/>
                <w:lang w:eastAsia="zh-Hans"/>
              </w:rPr>
              <w:t>资源审核设置</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Hans"/>
              </w:rPr>
              <w:t>资源使用设置</w:t>
            </w:r>
            <w:r>
              <w:rPr>
                <w:rFonts w:hint="eastAsia" w:ascii="宋体" w:hAnsi="宋体" w:eastAsia="宋体" w:cs="宋体"/>
                <w:color w:val="auto"/>
                <w:sz w:val="24"/>
                <w:szCs w:val="24"/>
              </w:rPr>
              <w:t>两部分，可以实现对资源审核和使用权限的管理。</w:t>
            </w:r>
          </w:p>
          <w:p w14:paraId="5E0A432B">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Hans"/>
              </w:rPr>
              <w:t>资源审核设置</w:t>
            </w:r>
            <w:r>
              <w:rPr>
                <w:rFonts w:hint="eastAsia" w:ascii="宋体" w:hAnsi="宋体" w:eastAsia="宋体" w:cs="宋体"/>
                <w:color w:val="auto"/>
                <w:sz w:val="24"/>
                <w:szCs w:val="24"/>
              </w:rPr>
              <w:t>功能支持</w:t>
            </w:r>
            <w:r>
              <w:rPr>
                <w:rFonts w:hint="eastAsia" w:ascii="宋体" w:hAnsi="宋体" w:eastAsia="宋体" w:cs="宋体"/>
                <w:color w:val="auto"/>
                <w:sz w:val="24"/>
                <w:szCs w:val="24"/>
                <w:lang w:eastAsia="zh-Hans"/>
              </w:rPr>
              <w:t>对任务型和非任务型上传者上传的课程、</w:t>
            </w:r>
            <w:r>
              <w:rPr>
                <w:rFonts w:hint="eastAsia" w:ascii="宋体" w:hAnsi="宋体" w:eastAsia="宋体" w:cs="宋体"/>
                <w:color w:val="auto"/>
                <w:sz w:val="24"/>
                <w:szCs w:val="24"/>
              </w:rPr>
              <w:t>素材</w:t>
            </w:r>
            <w:r>
              <w:rPr>
                <w:rFonts w:hint="eastAsia" w:ascii="宋体" w:hAnsi="宋体" w:eastAsia="宋体" w:cs="宋体"/>
                <w:color w:val="auto"/>
                <w:sz w:val="24"/>
                <w:szCs w:val="24"/>
                <w:lang w:eastAsia="zh-Hans"/>
              </w:rPr>
              <w:t>进行审核开关设置</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Hans"/>
              </w:rPr>
              <w:t>默认都是“手动审核”</w:t>
            </w:r>
            <w:r>
              <w:rPr>
                <w:rFonts w:hint="eastAsia" w:ascii="宋体" w:hAnsi="宋体" w:eastAsia="宋体" w:cs="宋体"/>
                <w:color w:val="auto"/>
                <w:sz w:val="24"/>
                <w:szCs w:val="24"/>
              </w:rPr>
              <w:t>。支持变更为“自动审核”。</w:t>
            </w:r>
          </w:p>
          <w:p w14:paraId="4B078391">
            <w:pPr>
              <w:widowControl w:val="0"/>
              <w:numPr>
                <w:ilvl w:val="0"/>
                <w:numId w:val="0"/>
              </w:numPr>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eastAsia="zh-Hans"/>
              </w:rPr>
              <w:t>资源使用设置</w:t>
            </w:r>
            <w:r>
              <w:rPr>
                <w:rFonts w:hint="eastAsia" w:ascii="宋体" w:hAnsi="宋体" w:eastAsia="宋体" w:cs="宋体"/>
                <w:color w:val="auto"/>
                <w:sz w:val="24"/>
                <w:szCs w:val="24"/>
              </w:rPr>
              <w:t>功能支持</w:t>
            </w:r>
            <w:r>
              <w:rPr>
                <w:rFonts w:hint="eastAsia" w:ascii="宋体" w:hAnsi="宋体" w:eastAsia="宋体" w:cs="宋体"/>
                <w:color w:val="auto"/>
                <w:sz w:val="24"/>
                <w:szCs w:val="24"/>
                <w:lang w:eastAsia="zh-Hans"/>
              </w:rPr>
              <w:t>对</w:t>
            </w:r>
            <w:r>
              <w:rPr>
                <w:rFonts w:hint="eastAsia" w:ascii="宋体" w:hAnsi="宋体" w:eastAsia="宋体" w:cs="宋体"/>
                <w:color w:val="auto"/>
                <w:sz w:val="24"/>
                <w:szCs w:val="24"/>
              </w:rPr>
              <w:t>教师用户、学生用户、企业用户、社会用户和游客用户</w:t>
            </w:r>
            <w:r>
              <w:rPr>
                <w:rFonts w:hint="eastAsia" w:ascii="宋体" w:hAnsi="宋体" w:eastAsia="宋体" w:cs="宋体"/>
                <w:color w:val="auto"/>
                <w:sz w:val="24"/>
                <w:szCs w:val="24"/>
                <w:lang w:eastAsia="zh-Hans"/>
              </w:rPr>
              <w:t>的使用权限进行配置</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Hans"/>
              </w:rPr>
              <w:t>包括是否允许素材浏览、素材下载、素材收藏、添加至课程资料、添加至课程章节、素材分享、素材评论、示范教学包浏览、示范教学包引用等。</w:t>
            </w:r>
          </w:p>
        </w:tc>
      </w:tr>
      <w:tr w14:paraId="061F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656C70B5">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07D06C5D">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资源建设</w:t>
            </w:r>
          </w:p>
        </w:tc>
        <w:tc>
          <w:tcPr>
            <w:tcW w:w="4021" w:type="pct"/>
            <w:noWrap w:val="0"/>
            <w:vAlign w:val="center"/>
          </w:tcPr>
          <w:p w14:paraId="29319EBD">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平台支持两种资源建设模式：</w:t>
            </w:r>
          </w:p>
          <w:p w14:paraId="09C1F42E">
            <w:pPr>
              <w:numPr>
                <w:ilvl w:val="0"/>
                <w:numId w:val="4"/>
              </w:num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任务型资源建设：由站点负责人指派栏目负责人，由栏目负责人指派建设任务到教师个人，建设资源库某一特定栏目。</w:t>
            </w:r>
          </w:p>
          <w:p w14:paraId="00EF253E">
            <w:pPr>
              <w:numPr>
                <w:ilvl w:val="0"/>
                <w:numId w:val="5"/>
              </w:numPr>
              <w:bidi w:val="0"/>
              <w:ind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任务型教师可对负责的栏目下上传的资源进行管理，可以编辑资源的信息或删除资源。</w:t>
            </w:r>
          </w:p>
          <w:p w14:paraId="31CB411F">
            <w:pPr>
              <w:numPr>
                <w:ilvl w:val="0"/>
                <w:numId w:val="5"/>
              </w:numPr>
              <w:bidi w:val="0"/>
              <w:ind w:left="0" w:leftChars="0"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Hans"/>
              </w:rPr>
              <w:t>任务型教师可对负责的栏目下上传的课程进行管理。</w:t>
            </w:r>
          </w:p>
          <w:p w14:paraId="0BED4C53">
            <w:pPr>
              <w:numPr>
                <w:ilvl w:val="0"/>
                <w:numId w:val="4"/>
              </w:num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非任务型资源建设：由教师自由上传资源。</w:t>
            </w:r>
          </w:p>
          <w:p w14:paraId="560F33FB">
            <w:pPr>
              <w:numPr>
                <w:ilvl w:val="0"/>
                <w:numId w:val="0"/>
              </w:numPr>
              <w:bidi w:val="0"/>
              <w:ind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A.素材上传：非</w:t>
            </w:r>
            <w:r>
              <w:rPr>
                <w:rFonts w:hint="eastAsia" w:ascii="宋体" w:hAnsi="宋体" w:eastAsia="宋体" w:cs="宋体"/>
                <w:color w:val="auto"/>
                <w:sz w:val="24"/>
                <w:szCs w:val="24"/>
              </w:rPr>
              <w:t>任务型教师可将其资源文件上传至指定栏目中，上传提供多种来源，可选择本地文件上传，</w:t>
            </w:r>
            <w:r>
              <w:rPr>
                <w:rFonts w:hint="eastAsia" w:ascii="宋体" w:hAnsi="宋体" w:eastAsia="宋体" w:cs="宋体"/>
                <w:color w:val="auto"/>
                <w:sz w:val="24"/>
                <w:szCs w:val="24"/>
                <w:lang w:val="en-US" w:eastAsia="zh-CN"/>
              </w:rPr>
              <w:t>资源库内置资源</w:t>
            </w:r>
            <w:r>
              <w:rPr>
                <w:rFonts w:hint="eastAsia" w:ascii="宋体" w:hAnsi="宋体" w:eastAsia="宋体" w:cs="宋体"/>
                <w:color w:val="auto"/>
                <w:sz w:val="24"/>
                <w:szCs w:val="24"/>
              </w:rPr>
              <w:t>检索上传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云盘上传多种上传方式</w:t>
            </w:r>
            <w:r>
              <w:rPr>
                <w:rFonts w:hint="eastAsia" w:ascii="宋体" w:hAnsi="宋体" w:eastAsia="宋体" w:cs="宋体"/>
                <w:color w:val="auto"/>
                <w:sz w:val="24"/>
                <w:szCs w:val="24"/>
              </w:rPr>
              <w:t>；支持批量上传；程序自动判断文件类型、大小、资源名称等相关信息，便于后期检索、应用和查找。</w:t>
            </w:r>
            <w:r>
              <w:rPr>
                <w:rFonts w:hint="eastAsia" w:ascii="宋体" w:hAnsi="宋体" w:eastAsia="宋体" w:cs="宋体"/>
                <w:color w:val="auto"/>
                <w:sz w:val="24"/>
                <w:szCs w:val="24"/>
                <w:lang w:val="en-US" w:eastAsia="zh-CN"/>
              </w:rPr>
              <w:t>上传成功后提交等待审核即可，审核通过可以二次编辑资源编目或删除。</w:t>
            </w:r>
          </w:p>
          <w:p w14:paraId="77251443">
            <w:pPr>
              <w:bidi w:val="0"/>
              <w:ind w:firstLine="42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B.课程上传：</w:t>
            </w:r>
            <w:r>
              <w:rPr>
                <w:rFonts w:hint="eastAsia" w:ascii="宋体" w:hAnsi="宋体" w:eastAsia="宋体" w:cs="宋体"/>
                <w:color w:val="auto"/>
                <w:sz w:val="24"/>
                <w:szCs w:val="24"/>
              </w:rPr>
              <w:t>教师可以将自己的课程上传到课程管理模块，上传成功后点击提交审核等待审核即可，审核通过的课程教师可以选择二次编辑课程编目或者删除课程。</w:t>
            </w:r>
          </w:p>
          <w:p w14:paraId="2DE89292">
            <w:pPr>
              <w:bidi w:val="0"/>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C.题库上传：教师可以将自己的课程下的题库上传到试题管理模块，上传成功后点击提交审核等待审核即可，审核通过的题目教师可以选择二次编辑编目或者删除试题。</w:t>
            </w:r>
          </w:p>
          <w:p w14:paraId="628DEF0A">
            <w:pPr>
              <w:bidi w:val="0"/>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rPr>
              <w:t>删除的资源点击资源回收站即可进行还原或者彻底删除。</w:t>
            </w:r>
          </w:p>
          <w:p w14:paraId="7BFF0442">
            <w:pPr>
              <w:numPr>
                <w:ilvl w:val="0"/>
                <w:numId w:val="0"/>
              </w:numPr>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（3）专业负责人管理端上传：支持专业负责人从管理端直接上传资源。</w:t>
            </w:r>
          </w:p>
          <w:p w14:paraId="63AE0933">
            <w:pPr>
              <w:numPr>
                <w:ilvl w:val="0"/>
                <w:numId w:val="6"/>
              </w:numPr>
              <w:bidi w:val="0"/>
              <w:ind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课程上传：专业负责人有从管理端上传本校及共建单位下课程的权限，支持搜索课程，批量上传课程。且无需审核。</w:t>
            </w:r>
          </w:p>
          <w:p w14:paraId="06F351D5">
            <w:pPr>
              <w:numPr>
                <w:ilvl w:val="0"/>
                <w:numId w:val="6"/>
              </w:numPr>
              <w:bidi w:val="0"/>
              <w:ind w:left="0" w:leftChars="0"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资源上传：专业负责人可以从管理端上传素材到特定栏目。也可以从课程中添加素材，支持选择课程，将课程内的资源颗粒化上传到课程素材库中。支持选择是否同步已删除过的课程资源。</w:t>
            </w:r>
          </w:p>
          <w:p w14:paraId="32CB3FC6">
            <w:pPr>
              <w:numPr>
                <w:ilvl w:val="0"/>
                <w:numId w:val="6"/>
              </w:numPr>
              <w:bidi w:val="0"/>
              <w:ind w:left="0" w:leftChars="0"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系统管理员可对已上传的资源进行查看，并对不合适的资源进行删除。为了防止多删、误删等情况，系统设置资源回收站，可对错删的资源找回。</w:t>
            </w:r>
          </w:p>
          <w:p w14:paraId="126B7453">
            <w:pPr>
              <w:numPr>
                <w:ilvl w:val="0"/>
                <w:numId w:val="6"/>
              </w:numPr>
              <w:bidi w:val="0"/>
              <w:ind w:left="0" w:leftChars="0"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题库上传：管理员可以在资源库单独上传或创建非课程题库。</w:t>
            </w:r>
          </w:p>
          <w:p w14:paraId="55E6F38F">
            <w:pPr>
              <w:numPr>
                <w:ilvl w:val="0"/>
                <w:numId w:val="0"/>
              </w:numPr>
              <w:bidi w:val="0"/>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（4）资源上传类型：</w:t>
            </w:r>
          </w:p>
          <w:p w14:paraId="2F056978">
            <w:pPr>
              <w:bidi w:val="0"/>
              <w:ind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建设须具备通用性，平台需支持多种类型和格式的资源上传，包括文本、图片、动画、视频、音频、PPT、电子表格等，能够根据文件扩展名自动分类存储。支持资源批量上传、下载、删除、修改；支持超大附件上传及断点续传等，并能够对上传的资源进行智能压缩和智能分发。</w:t>
            </w:r>
          </w:p>
          <w:p w14:paraId="0B744323">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支持的上传格式如下：</w:t>
            </w:r>
          </w:p>
          <w:p w14:paraId="5D89FD10">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 本 类："doc" "docx" "pdf" "txt" "pptx"；</w:t>
            </w:r>
          </w:p>
          <w:p w14:paraId="0A5CEFD5">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电子表格类："xls" "xlsx"；</w:t>
            </w:r>
          </w:p>
          <w:p w14:paraId="5BB94003">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演示文稿类："ppt" "pptx"；</w:t>
            </w:r>
          </w:p>
          <w:p w14:paraId="55CD3171">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图片类：</w:t>
            </w:r>
          </w:p>
          <w:p w14:paraId="27723265">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"jpg" "jpeg" "gif" "png" "bmp" "jpeg" "dwg" "wmf" "ico" "psd" "pic" "tif"；</w:t>
            </w:r>
          </w:p>
          <w:p w14:paraId="7D61A7BC">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音 频 类："mp3" "wav" "wma" "midi" "wave" "flac"；</w:t>
            </w:r>
          </w:p>
          <w:p w14:paraId="2FC972F3">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视 频 类：</w:t>
            </w:r>
          </w:p>
          <w:p w14:paraId="1AA9799F">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"rm" "rmvb" "mpg" "flv" "mp4" "3gp" "mkv" "mov" "vob" "avi" "wmv" "mpeg" "f4v" "aac", "ac3", "aif", "amr", "ape", "flac", "m4a", "m4r","mka","mid", "mmf","mpa", "mpc", "ogg", "pcm", "mp3", "ra","tta", "voc", "wav", "wv", "wma"；</w:t>
            </w:r>
          </w:p>
          <w:p w14:paraId="520438C8">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动 画 类："fla" "swf"；</w:t>
            </w:r>
          </w:p>
          <w:p w14:paraId="4FFDAE61">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压缩文件："zip" "rar" "gz"；</w:t>
            </w:r>
          </w:p>
          <w:p w14:paraId="1F6CCF45">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链 接："url"；</w:t>
            </w:r>
          </w:p>
          <w:p w14:paraId="159BA5D5">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网 页 课 件："html"；</w:t>
            </w:r>
          </w:p>
          <w:p w14:paraId="6E31CC05">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虚拟仿真类：不限；</w:t>
            </w:r>
          </w:p>
          <w:p w14:paraId="11E9F075">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富 媒 体：不限；</w:t>
            </w:r>
          </w:p>
          <w:p w14:paraId="1816965C">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   他：*</w:t>
            </w:r>
          </w:p>
          <w:p w14:paraId="123FE683">
            <w:pPr>
              <w:numPr>
                <w:ilvl w:val="0"/>
                <w:numId w:val="0"/>
              </w:numPr>
              <w:bidi w:val="0"/>
              <w:ind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（5）题库建设：题库资源用于教学是每个学校的最基本需求，平台需支持题库类资源建设，能够实现多种题型的编辑及试题的批量导入，支持试题中的图片及公式编辑。</w:t>
            </w:r>
          </w:p>
          <w:p w14:paraId="0EAAAA82">
            <w:pPr>
              <w:numPr>
                <w:ilvl w:val="0"/>
                <w:numId w:val="7"/>
              </w:numPr>
              <w:bidi w:val="0"/>
              <w:ind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题库支持创建试题，不仅支持常见的题型，还支持口语题、听力题和程序题的设置。</w:t>
            </w:r>
          </w:p>
          <w:p w14:paraId="6E54CE16">
            <w:pPr>
              <w:numPr>
                <w:ilvl w:val="0"/>
                <w:numId w:val="7"/>
              </w:numPr>
              <w:bidi w:val="0"/>
              <w:ind w:left="0" w:leftChars="0"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题库批量导入功能支持快速导入和模板导入两种模式，其中快速导入可快速录入选择题（单选和多选）、填空题、判断题、简答题。</w:t>
            </w:r>
          </w:p>
          <w:p w14:paraId="6CACD0FD">
            <w:pPr>
              <w:numPr>
                <w:ilvl w:val="0"/>
                <w:numId w:val="0"/>
              </w:numPr>
              <w:bidi w:val="0"/>
              <w:ind w:firstLine="420" w:firstLine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按模板导入题目需要下载相应的模板，支持word格式试题智能导入，导入支持图片和公式，题库导入时，填空题可批量设置是否答案互斥。</w:t>
            </w:r>
          </w:p>
          <w:p w14:paraId="5304DA84">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资源库上传资源后，可以进行资源关联知识点（技能点），通过编辑资源属性进行关联，支持一个资源关联多个知识点（技能点）。支持按知识点上传资源，并查看知识点关联资源数量，方便教师按知识点管理资源</w:t>
            </w:r>
            <w:r>
              <w:rPr>
                <w:rFonts w:hint="eastAsia" w:ascii="宋体" w:hAnsi="宋体" w:eastAsia="宋体" w:cs="宋体"/>
                <w:color w:val="auto"/>
                <w:sz w:val="24"/>
                <w:szCs w:val="24"/>
                <w:lang w:eastAsia="zh-CN"/>
              </w:rPr>
              <w:t>。支持按模板批量导入题目时导入题目知识点。</w:t>
            </w:r>
          </w:p>
          <w:p w14:paraId="28573545">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支持资源重复上传校验、对重复上传的资源内容进行提醒、避免资源库中存在重复资源。</w:t>
            </w:r>
          </w:p>
        </w:tc>
      </w:tr>
      <w:tr w14:paraId="4E57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06CA70E7">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26777D73">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分类管理</w:t>
            </w:r>
          </w:p>
        </w:tc>
        <w:tc>
          <w:tcPr>
            <w:tcW w:w="4021" w:type="pct"/>
            <w:noWrap w:val="0"/>
            <w:vAlign w:val="center"/>
          </w:tcPr>
          <w:p w14:paraId="561F7066">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在分类管理功能中，支持对课程分类、素材分类、素材媒体分类进行管理。可实现对各分类的自定义设计，在上传素材和课程时可选择到对应的分类栏目，在门户中也可配置对应栏目的链接。实现前后台贯通，一体化设计，便于理解和操作。</w:t>
            </w:r>
          </w:p>
          <w:p w14:paraId="3481631F">
            <w:pPr>
              <w:numPr>
                <w:ilvl w:val="0"/>
                <w:numId w:val="8"/>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课程</w:t>
            </w:r>
            <w:r>
              <w:rPr>
                <w:rFonts w:hint="eastAsia" w:ascii="宋体" w:hAnsi="宋体" w:eastAsia="宋体" w:cs="宋体"/>
                <w:color w:val="auto"/>
                <w:sz w:val="24"/>
                <w:szCs w:val="24"/>
                <w:lang w:eastAsia="zh-CN"/>
              </w:rPr>
              <w:t>分类管理主要是针对结构化课程进行分类管理。新建分类后可以指定“栏目参建人”进行课程栏目的建设任务，支持添加和导入；支持分类的启用和禁用。</w:t>
            </w:r>
          </w:p>
          <w:p w14:paraId="50B1DCAE">
            <w:pPr>
              <w:numPr>
                <w:ilvl w:val="0"/>
                <w:numId w:val="8"/>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Hans"/>
              </w:rPr>
              <w:t>素材分类管理主要针对颗粒化的素材进行分类管理。新建分类后可以指定“栏目参建人”进行素材栏目的建设任务。支持添加和导入；支持分类的启用和禁用。</w:t>
            </w:r>
          </w:p>
          <w:p w14:paraId="06AE90EF">
            <w:pPr>
              <w:widowControl w:val="0"/>
              <w:numPr>
                <w:ilvl w:val="0"/>
                <w:numId w:val="0"/>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素材媒体分类管理可以配置当前专业的媒体可选素材类型，根据自己专业特点进行自由配置开启、禁用。禁用后则不在上传资源界面的素材类型中显示。</w:t>
            </w:r>
          </w:p>
        </w:tc>
      </w:tr>
      <w:tr w14:paraId="7F3A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04F6909A">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4065F423">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资源审核</w:t>
            </w:r>
          </w:p>
        </w:tc>
        <w:tc>
          <w:tcPr>
            <w:tcW w:w="4021" w:type="pct"/>
            <w:noWrap w:val="0"/>
            <w:vAlign w:val="center"/>
          </w:tcPr>
          <w:p w14:paraId="707C53E4">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基于国家教学资源库建设标准，为提高资源建设质量，严格制定审核机制。支持移动端和PC端多终端审核。使得管理者随时随地都可以审核资源。移动端的资源审核任务以即时通知的形式发送给相关栏目负责人。审核通过的资源才可在资源库中正常使用。</w:t>
            </w:r>
          </w:p>
          <w:p w14:paraId="49ACDA06">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（2）搭载智能审核平台对资源库的各类资源进行智能纠错、敏感内容判断等方面的智能审核。为管理员提供初步的审核依据。</w:t>
            </w:r>
          </w:p>
        </w:tc>
      </w:tr>
      <w:tr w14:paraId="2C70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3DB9FA49">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1734DE0A">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资源编目</w:t>
            </w:r>
          </w:p>
        </w:tc>
        <w:tc>
          <w:tcPr>
            <w:tcW w:w="4021" w:type="pct"/>
            <w:noWrap w:val="0"/>
            <w:vAlign w:val="center"/>
          </w:tcPr>
          <w:p w14:paraId="5AEDFC54">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平台需支持为上传的资源填写丰富的编目信息，并且根据资源的类型、上传来源、名称等系统默认提取编目信息，节省用户为资源编目的时间，便于后期检索和精准查找资源，提高应用成效；</w:t>
            </w:r>
          </w:p>
          <w:p w14:paraId="735D60AA">
            <w:pPr>
              <w:widowControl w:val="0"/>
              <w:numPr>
                <w:ilvl w:val="0"/>
                <w:numId w:val="0"/>
              </w:num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管理后台支持对资源编目进行自定义设置，可设置各编目启用或禁用，必填或非必填。编目内容包含但不限于：所属课程、关键字、适用对象、资源语言、应用类型、资源来源、资源简介、封面图片、应用许可、允许下载、是否原创、知识点等。</w:t>
            </w:r>
          </w:p>
        </w:tc>
      </w:tr>
      <w:tr w14:paraId="33F5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7696E805">
            <w:pPr>
              <w:widowControl w:val="0"/>
              <w:numPr>
                <w:ilvl w:val="0"/>
                <w:numId w:val="0"/>
              </w:numPr>
              <w:jc w:val="center"/>
              <w:rPr>
                <w:rFonts w:hint="eastAsia" w:ascii="宋体" w:hAnsi="宋体" w:eastAsia="宋体" w:cs="宋体"/>
                <w:color w:val="auto"/>
                <w:sz w:val="24"/>
                <w:szCs w:val="24"/>
                <w:vertAlign w:val="baseline"/>
              </w:rPr>
            </w:pPr>
          </w:p>
        </w:tc>
        <w:tc>
          <w:tcPr>
            <w:tcW w:w="539" w:type="pct"/>
            <w:noWrap w:val="0"/>
            <w:vAlign w:val="center"/>
          </w:tcPr>
          <w:p w14:paraId="2E31464D">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资源应用</w:t>
            </w:r>
          </w:p>
        </w:tc>
        <w:tc>
          <w:tcPr>
            <w:tcW w:w="4021" w:type="pct"/>
            <w:noWrap w:val="0"/>
            <w:vAlign w:val="center"/>
          </w:tcPr>
          <w:p w14:paraId="4FEC3110">
            <w:pPr>
              <w:numPr>
                <w:ilvl w:val="0"/>
                <w:numId w:val="0"/>
              </w:numPr>
              <w:spacing w:after="200" w:line="276"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设完善的资源库，可为学校师生在专业教学、实习实训、技能培训、生产现场和日常生活等场景中提供资源支持，推动专业教学改革，提高教育教学效率和质量，也可为其他职业学校、普通高校、行业、企业、科研院所和社会学习者提供服务，实现优质资源共享，扩大优质资源受益群体覆盖面。引入的学习助手、数字教师等新技术，建立多样化的应用场景，满足不同群体用户的多样化学习需要。</w:t>
            </w:r>
          </w:p>
          <w:p w14:paraId="13EE37AA">
            <w:pPr>
              <w:numPr>
                <w:ilvl w:val="0"/>
                <w:numId w:val="9"/>
              </w:num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资源展示：独立页面，带信息、评分、评论等。进入单个资源详情中，可见到资源的展示界面，展示界面包括资源上传者、所属单位、关键词、资源内容简介、评分等介绍。支持多角度、多纬度的数据统计查询，对资源的下载次数及阅读次数进行统计。帮助用户准确判断资源的可用性。视频文件，上传可自动截第一帧画面作为缩略图。</w:t>
            </w:r>
          </w:p>
          <w:p w14:paraId="185FDE07">
            <w:pPr>
              <w:numPr>
                <w:ilvl w:val="0"/>
                <w:numId w:val="9"/>
              </w:num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rPr>
              <w:t>通过构建资源库资源和知识点（技能点）之间的关联，实现专业（群）-专业-课程下的知识图谱构建，知识图谱上可以清晰的看见每个知识点（技能点）之间的前后置关系，以及关联关系。支持进行按照不同的标签和关键字进行检索，定位到对应的知识点（技能点），点击对应的知识点（技能点）即可跳转到知识卡片，显示所有关联的资源，点击对应资源即可进行浏览。同时对应资源详情页显示关联的每一个知识点（技能点）帮助用户在浏览资源时更好的对资源所属的知识点（技能点）认知，提高掌握度。</w:t>
            </w:r>
          </w:p>
          <w:p w14:paraId="12D35516">
            <w:pPr>
              <w:numPr>
                <w:ilvl w:val="0"/>
                <w:numId w:val="9"/>
              </w:numPr>
              <w:bidi w:val="0"/>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资源下载：授权下载。被授权具有资源下载权限的用户可直接下载资源库中的资源。</w:t>
            </w:r>
            <w:r>
              <w:rPr>
                <w:rFonts w:hint="eastAsia" w:ascii="宋体" w:hAnsi="宋体" w:eastAsia="宋体" w:cs="宋体"/>
                <w:color w:val="auto"/>
                <w:sz w:val="24"/>
                <w:szCs w:val="24"/>
                <w:lang w:val="en-US" w:eastAsia="zh-CN"/>
              </w:rPr>
              <w:t>支持设置下载密码，对部分资源上传老师或管理员支持对资源设置下载密码，输入密码才能下载。</w:t>
            </w:r>
          </w:p>
          <w:p w14:paraId="64930498">
            <w:pPr>
              <w:numPr>
                <w:ilvl w:val="0"/>
                <w:numId w:val="9"/>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源在线浏览：授权浏览。被授权具有资源在线阅读权限的用户可在资源列表中，直接对感兴趣的资源进行在线阅读，增加资源的可利用性与价值。用户点击在线阅读，即可直接进入资源阅读页面，无需下载可优先查看资源详情。</w:t>
            </w:r>
          </w:p>
          <w:p w14:paraId="339BF6CB">
            <w:pPr>
              <w:numPr>
                <w:ilvl w:val="0"/>
                <w:numId w:val="9"/>
              </w:numPr>
              <w:bidi w:val="0"/>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资源检索：全局检索和一站式检索。 提供全局搜索功能，所有进入站点的用户可在子库基础下，按标题、关键字、上传者信息等标签搜索。该搜索范围为所在站点的资源数据库。登录用户可在自己所在个人中心中对资源进行一站式检索，用户进入高级检索界面，精确查找资源。</w:t>
            </w:r>
          </w:p>
          <w:p w14:paraId="0F313447">
            <w:pPr>
              <w:numPr>
                <w:ilvl w:val="0"/>
                <w:numId w:val="9"/>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资源评分：平台登录用户可对资源进行星级评分和主观评价，为其他用户提供建设性意见。同时，学校管理者可针对资源的不同评分判断资源的价值，更加准确地管理资源。</w:t>
            </w:r>
          </w:p>
          <w:p w14:paraId="3E6EA996">
            <w:pPr>
              <w:numPr>
                <w:ilvl w:val="0"/>
                <w:numId w:val="9"/>
              </w:numPr>
              <w:bidi w:val="0"/>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资源评论：登录用户可对资源进行评价，提供自己的意见或建议，帮助其他用户判断资源价值的同时为学校提供可建设性资源管理意见。</w:t>
            </w:r>
          </w:p>
          <w:p w14:paraId="1B6D04E4">
            <w:pPr>
              <w:numPr>
                <w:ilvl w:val="0"/>
                <w:numId w:val="9"/>
              </w:numPr>
              <w:bidi w:val="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资源收藏：登录用户可将自己在教学资源库中发现的比较好的资源收藏到个人空间中方便自己随用随取。用户可自主收藏优质资源，用户个性化个人空间的设置，充分发挥资源共享功能。</w:t>
            </w:r>
          </w:p>
          <w:p w14:paraId="19ECF69F">
            <w:pPr>
              <w:bidi w:val="0"/>
              <w:jc w:val="both"/>
              <w:rPr>
                <w:rFonts w:hint="eastAsia" w:ascii="宋体" w:hAnsi="宋体" w:eastAsia="宋体" w:cs="宋体"/>
                <w:color w:val="auto"/>
                <w:sz w:val="24"/>
                <w:szCs w:val="24"/>
                <w:lang w:val="en-US" w:eastAsia="zh-CN"/>
              </w:rPr>
            </w:pPr>
            <w:r>
              <w:rPr>
                <w:rFonts w:hint="eastAsia"/>
                <w:color w:val="auto"/>
                <w:lang w:eastAsia="zh-CN"/>
              </w:rPr>
              <w:t>（</w:t>
            </w:r>
            <w:r>
              <w:rPr>
                <w:rFonts w:hint="eastAsia"/>
                <w:color w:val="auto"/>
                <w:lang w:val="en-US" w:eastAsia="zh-CN"/>
              </w:rPr>
              <w:t>9</w:t>
            </w:r>
            <w:r>
              <w:rPr>
                <w:rFonts w:hint="eastAsia"/>
                <w:color w:val="auto"/>
                <w:lang w:eastAsia="zh-CN"/>
              </w:rPr>
              <w:t>）</w:t>
            </w:r>
            <w:r>
              <w:rPr>
                <w:rFonts w:hint="eastAsia" w:ascii="宋体" w:hAnsi="宋体" w:eastAsia="宋体" w:cs="宋体"/>
                <w:color w:val="auto"/>
                <w:sz w:val="24"/>
                <w:szCs w:val="24"/>
                <w:lang w:val="en-US" w:eastAsia="zh-CN"/>
              </w:rPr>
              <w:t>资源添加到课程：教师用户可将教学资源库中的资源添加至自己的网络课程的共享资料中，也可以将资源直接推送到课程某个章节中，用于课程教学使用。</w:t>
            </w:r>
          </w:p>
          <w:p w14:paraId="78D96E7B">
            <w:pPr>
              <w:bidi w:val="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课程建设者可通过系统推荐或者自行检索将教学资源库中的资源引用到网络课程章节中，并可以设置成为任务点，丰富课程资源；智慧教学系统中的课程资源，也可推送至教学资源库中进行共享，最终达到教学资源库和智慧教学系统双向互通。</w:t>
            </w:r>
          </w:p>
        </w:tc>
      </w:tr>
      <w:tr w14:paraId="6BFE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0DE9D31D">
            <w:pPr>
              <w:widowControl w:val="0"/>
              <w:numPr>
                <w:ilvl w:val="0"/>
                <w:numId w:val="0"/>
              </w:numPr>
              <w:jc w:val="center"/>
              <w:rPr>
                <w:rFonts w:hint="eastAsia" w:ascii="宋体" w:hAnsi="宋体" w:eastAsia="宋体" w:cs="宋体"/>
                <w:color w:val="auto"/>
                <w:sz w:val="24"/>
                <w:szCs w:val="24"/>
                <w:vertAlign w:val="baseline"/>
                <w:lang w:val="en-US" w:eastAsia="zh-CN"/>
              </w:rPr>
            </w:pPr>
          </w:p>
        </w:tc>
        <w:tc>
          <w:tcPr>
            <w:tcW w:w="539" w:type="pct"/>
            <w:vMerge w:val="restart"/>
            <w:noWrap w:val="0"/>
            <w:vAlign w:val="center"/>
          </w:tcPr>
          <w:p w14:paraId="5C7595B4">
            <w:pPr>
              <w:widowControl w:val="0"/>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公共共享资源</w:t>
            </w:r>
          </w:p>
        </w:tc>
        <w:tc>
          <w:tcPr>
            <w:tcW w:w="4021" w:type="pct"/>
            <w:noWrap w:val="0"/>
            <w:vAlign w:val="center"/>
          </w:tcPr>
          <w:p w14:paraId="79627514">
            <w:pPr>
              <w:bidi w:val="0"/>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备课资源库中需要具有电子图书和学术视频，教师可以直接添加备课资源库中的资源到教学资源库中。</w:t>
            </w:r>
          </w:p>
          <w:p w14:paraId="1BBADC18">
            <w:pPr>
              <w:bidi w:val="0"/>
              <w:jc w:val="both"/>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zh-CN"/>
              </w:rPr>
              <w:t>备课资源库也可以</w:t>
            </w:r>
            <w:r>
              <w:rPr>
                <w:rFonts w:hint="eastAsia" w:ascii="宋体" w:hAnsi="宋体" w:eastAsia="宋体" w:cs="宋体"/>
                <w:color w:val="auto"/>
                <w:sz w:val="24"/>
                <w:szCs w:val="24"/>
              </w:rPr>
              <w:t>与</w:t>
            </w:r>
            <w:r>
              <w:rPr>
                <w:rFonts w:hint="eastAsia" w:ascii="宋体" w:hAnsi="宋体" w:eastAsia="宋体" w:cs="宋体"/>
                <w:color w:val="auto"/>
                <w:sz w:val="24"/>
                <w:szCs w:val="24"/>
                <w:highlight w:val="none"/>
                <w:lang w:val="en-US" w:eastAsia="zh-CN"/>
              </w:rPr>
              <w:t>智慧教学系统</w:t>
            </w:r>
            <w:r>
              <w:rPr>
                <w:rFonts w:hint="eastAsia" w:ascii="宋体" w:hAnsi="宋体" w:eastAsia="宋体" w:cs="宋体"/>
                <w:color w:val="auto"/>
                <w:sz w:val="24"/>
                <w:szCs w:val="24"/>
              </w:rPr>
              <w:t>无缝对接，教师在使用</w:t>
            </w:r>
            <w:r>
              <w:rPr>
                <w:rFonts w:hint="eastAsia" w:ascii="宋体" w:hAnsi="宋体" w:eastAsia="宋体" w:cs="宋体"/>
                <w:color w:val="auto"/>
                <w:sz w:val="24"/>
                <w:szCs w:val="24"/>
                <w:highlight w:val="none"/>
                <w:lang w:val="en-US" w:eastAsia="zh-CN"/>
              </w:rPr>
              <w:t>智慧教学系统</w:t>
            </w:r>
            <w:r>
              <w:rPr>
                <w:rFonts w:hint="eastAsia" w:ascii="宋体" w:hAnsi="宋体" w:eastAsia="宋体" w:cs="宋体"/>
                <w:color w:val="auto"/>
                <w:sz w:val="24"/>
                <w:szCs w:val="24"/>
              </w:rPr>
              <w:t>进行课程建设、备课、授课过程中随时可以搜索、引用、无缝插入备课资源库中的资源，全面辅助教师教学和学生学习。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投标人须在投标文件中提供书面承诺并加盖投标人电子公章,书面承诺格式自拟）</w:t>
            </w:r>
            <w:r>
              <w:rPr>
                <w:rFonts w:hint="eastAsia" w:ascii="宋体" w:hAnsi="宋体" w:eastAsia="宋体" w:cs="宋体"/>
                <w:color w:val="auto"/>
                <w:sz w:val="24"/>
                <w:szCs w:val="24"/>
                <w:highlight w:val="none"/>
                <w:lang w:val="en-US" w:eastAsia="zh-CN"/>
              </w:rPr>
              <w:t>。</w:t>
            </w:r>
          </w:p>
          <w:p w14:paraId="437A2A9E">
            <w:pPr>
              <w:bidi w:val="0"/>
              <w:ind w:firstLine="42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电子书和学术视频要求必须取得著作权人的授权，没有版权问题。</w:t>
            </w:r>
          </w:p>
        </w:tc>
      </w:tr>
      <w:tr w14:paraId="1E7A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pct"/>
            <w:vMerge w:val="continue"/>
            <w:noWrap w:val="0"/>
            <w:vAlign w:val="center"/>
          </w:tcPr>
          <w:p w14:paraId="67A90FFB">
            <w:pPr>
              <w:widowControl w:val="0"/>
              <w:numPr>
                <w:ilvl w:val="0"/>
                <w:numId w:val="0"/>
              </w:numPr>
              <w:jc w:val="center"/>
              <w:rPr>
                <w:rFonts w:hint="eastAsia" w:ascii="宋体" w:hAnsi="宋体" w:eastAsia="宋体" w:cs="宋体"/>
                <w:color w:val="auto"/>
                <w:sz w:val="24"/>
                <w:szCs w:val="24"/>
                <w:vertAlign w:val="baseline"/>
                <w:lang w:val="en-US" w:eastAsia="zh-CN"/>
              </w:rPr>
            </w:pPr>
          </w:p>
        </w:tc>
        <w:tc>
          <w:tcPr>
            <w:tcW w:w="539" w:type="pct"/>
            <w:vMerge w:val="continue"/>
            <w:noWrap w:val="0"/>
            <w:vAlign w:val="center"/>
          </w:tcPr>
          <w:p w14:paraId="6291535C">
            <w:pPr>
              <w:widowControl w:val="0"/>
              <w:numPr>
                <w:ilvl w:val="0"/>
                <w:numId w:val="0"/>
              </w:numPr>
              <w:jc w:val="center"/>
              <w:rPr>
                <w:rFonts w:hint="eastAsia" w:ascii="宋体" w:hAnsi="宋体" w:eastAsia="宋体" w:cs="宋体"/>
                <w:color w:val="auto"/>
                <w:sz w:val="24"/>
                <w:szCs w:val="24"/>
                <w:vertAlign w:val="baseline"/>
                <w:lang w:val="en-US" w:eastAsia="zh-CN"/>
              </w:rPr>
            </w:pPr>
          </w:p>
        </w:tc>
        <w:tc>
          <w:tcPr>
            <w:tcW w:w="4021" w:type="pct"/>
            <w:noWrap w:val="0"/>
            <w:vAlign w:val="center"/>
          </w:tcPr>
          <w:p w14:paraId="7E6C61FE">
            <w:pPr>
              <w:bidi w:val="0"/>
              <w:ind w:firstLine="42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教师可以在教学资源库建设中搜索添加平台中的公共共享资源，包括教学视频、PPT、动画等文件类型。</w:t>
            </w:r>
          </w:p>
        </w:tc>
      </w:tr>
    </w:tbl>
    <w:p w14:paraId="69AF5FFE">
      <w:pPr>
        <w:rPr>
          <w:rFonts w:hint="eastAsia"/>
        </w:rPr>
      </w:pPr>
    </w:p>
    <w:p w14:paraId="0F1D7F55">
      <w:pPr>
        <w:numPr>
          <w:ilvl w:val="0"/>
          <w:numId w:val="10"/>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03D63FCA">
      <w:pPr>
        <w:pStyle w:val="53"/>
        <w:numPr>
          <w:ilvl w:val="0"/>
          <w:numId w:val="0"/>
        </w:numPr>
        <w:ind w:firstLine="560" w:firstLineChars="200"/>
        <w:jc w:val="both"/>
        <w:rPr>
          <w:rFonts w:hint="eastAsia" w:ascii="宋体" w:hAnsi="宋体" w:eastAsia="宋体" w:cs="Times New Roman"/>
          <w:color w:val="auto"/>
          <w:kern w:val="2"/>
          <w:sz w:val="28"/>
          <w:szCs w:val="28"/>
          <w:lang w:val="en-US" w:eastAsia="zh-CN" w:bidi="ar-SA"/>
        </w:rPr>
      </w:pPr>
      <w:r>
        <w:rPr>
          <w:rFonts w:hint="eastAsia" w:ascii="宋体" w:hAnsi="宋体" w:eastAsia="宋体" w:cs="Times New Roman"/>
          <w:color w:val="auto"/>
          <w:kern w:val="2"/>
          <w:sz w:val="28"/>
          <w:szCs w:val="28"/>
          <w:lang w:val="en-US" w:eastAsia="zh-CN" w:bidi="ar-SA"/>
        </w:rPr>
        <w:t>建设完毕正式运行，所有参数达到招标参数要求后，由学校按学校相关管理规定组织验收。</w:t>
      </w:r>
    </w:p>
    <w:p w14:paraId="1BF4093A">
      <w:pPr>
        <w:numPr>
          <w:ilvl w:val="0"/>
          <w:numId w:val="10"/>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售后服务：</w:t>
      </w:r>
    </w:p>
    <w:p w14:paraId="0957221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olor w:val="auto"/>
          <w:sz w:val="28"/>
          <w:szCs w:val="28"/>
        </w:rPr>
      </w:pPr>
      <w:r>
        <w:rPr>
          <w:rFonts w:hint="eastAsia" w:ascii="宋体" w:hAnsi="宋体" w:eastAsia="宋体"/>
          <w:color w:val="auto"/>
          <w:sz w:val="28"/>
          <w:szCs w:val="28"/>
        </w:rPr>
        <w:t>系统正式交付之日起进入服务期，期限</w:t>
      </w:r>
      <w:r>
        <w:rPr>
          <w:rFonts w:hint="eastAsia" w:ascii="宋体" w:hAnsi="宋体" w:eastAsia="宋体"/>
          <w:color w:val="auto"/>
          <w:sz w:val="28"/>
          <w:szCs w:val="28"/>
          <w:lang w:val="en-US" w:eastAsia="zh-CN"/>
        </w:rPr>
        <w:t>1</w:t>
      </w:r>
      <w:r>
        <w:rPr>
          <w:rFonts w:hint="eastAsia" w:ascii="宋体" w:hAnsi="宋体" w:eastAsia="宋体"/>
          <w:color w:val="auto"/>
          <w:sz w:val="28"/>
          <w:szCs w:val="28"/>
        </w:rPr>
        <w:t>年，在此期限内</w:t>
      </w:r>
      <w:r>
        <w:rPr>
          <w:rFonts w:hint="eastAsia" w:ascii="宋体" w:hAnsi="宋体" w:eastAsia="宋体"/>
          <w:color w:val="auto"/>
          <w:sz w:val="28"/>
          <w:szCs w:val="28"/>
          <w:lang w:eastAsia="zh-CN"/>
        </w:rPr>
        <w:t>中标人</w:t>
      </w:r>
      <w:r>
        <w:rPr>
          <w:rFonts w:hint="eastAsia" w:ascii="宋体" w:hAnsi="宋体" w:eastAsia="宋体"/>
          <w:color w:val="auto"/>
          <w:sz w:val="28"/>
          <w:szCs w:val="28"/>
        </w:rPr>
        <w:t>提供以下服务：</w:t>
      </w:r>
    </w:p>
    <w:p w14:paraId="66CBA36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olor w:val="auto"/>
          <w:sz w:val="28"/>
          <w:szCs w:val="28"/>
          <w:lang w:eastAsia="zh-CN"/>
        </w:rPr>
      </w:pPr>
      <w:r>
        <w:rPr>
          <w:rFonts w:hint="eastAsia" w:ascii="宋体" w:hAnsi="宋体" w:eastAsia="宋体"/>
          <w:color w:val="auto"/>
          <w:sz w:val="28"/>
          <w:szCs w:val="28"/>
          <w:lang w:val="en-US" w:eastAsia="zh-CN"/>
        </w:rPr>
        <w:t>（1）</w:t>
      </w:r>
      <w:r>
        <w:rPr>
          <w:rFonts w:hint="eastAsia" w:ascii="宋体" w:hAnsi="宋体" w:eastAsia="宋体"/>
          <w:color w:val="auto"/>
          <w:sz w:val="28"/>
          <w:szCs w:val="28"/>
        </w:rPr>
        <w:t>系统部署完成后对根据学校的要求</w:t>
      </w:r>
      <w:r>
        <w:rPr>
          <w:rFonts w:hint="eastAsia" w:ascii="宋体" w:hAnsi="宋体" w:eastAsia="宋体"/>
          <w:color w:val="auto"/>
          <w:sz w:val="28"/>
          <w:szCs w:val="28"/>
          <w:lang w:val="en-US" w:eastAsia="zh-CN"/>
        </w:rPr>
        <w:t>建设、</w:t>
      </w:r>
      <w:r>
        <w:rPr>
          <w:rFonts w:hint="eastAsia" w:ascii="宋体" w:hAnsi="宋体" w:eastAsia="宋体"/>
          <w:color w:val="auto"/>
          <w:sz w:val="28"/>
          <w:szCs w:val="28"/>
        </w:rPr>
        <w:t>安排系统使用培训，包括平台管理培训和平台使用培训，服务期的培训计划由</w:t>
      </w:r>
      <w:r>
        <w:rPr>
          <w:rFonts w:hint="eastAsia" w:ascii="宋体" w:hAnsi="宋体" w:eastAsia="宋体"/>
          <w:color w:val="auto"/>
          <w:sz w:val="28"/>
          <w:szCs w:val="28"/>
          <w:lang w:eastAsia="zh-CN"/>
        </w:rPr>
        <w:t>学校</w:t>
      </w:r>
      <w:r>
        <w:rPr>
          <w:rFonts w:hint="eastAsia" w:ascii="宋体" w:hAnsi="宋体" w:eastAsia="宋体"/>
          <w:color w:val="auto"/>
          <w:sz w:val="28"/>
          <w:szCs w:val="28"/>
        </w:rPr>
        <w:t>制定，</w:t>
      </w:r>
      <w:r>
        <w:rPr>
          <w:rFonts w:hint="eastAsia" w:ascii="宋体" w:hAnsi="宋体" w:eastAsia="宋体"/>
          <w:color w:val="auto"/>
          <w:sz w:val="28"/>
          <w:szCs w:val="28"/>
          <w:lang w:eastAsia="zh-CN"/>
        </w:rPr>
        <w:t>中标人</w:t>
      </w:r>
      <w:r>
        <w:rPr>
          <w:rFonts w:hint="eastAsia" w:ascii="宋体" w:hAnsi="宋体" w:eastAsia="宋体"/>
          <w:color w:val="auto"/>
          <w:sz w:val="28"/>
          <w:szCs w:val="28"/>
        </w:rPr>
        <w:t>对校方要求合理的培训计划负责安排和落实，后续服务期内</w:t>
      </w:r>
      <w:r>
        <w:rPr>
          <w:rFonts w:hint="eastAsia" w:ascii="宋体" w:hAnsi="宋体" w:eastAsia="宋体"/>
          <w:color w:val="auto"/>
          <w:sz w:val="28"/>
          <w:szCs w:val="28"/>
          <w:lang w:eastAsia="zh-CN"/>
        </w:rPr>
        <w:t>中标人</w:t>
      </w:r>
      <w:r>
        <w:rPr>
          <w:rFonts w:hint="eastAsia" w:ascii="宋体" w:hAnsi="宋体" w:eastAsia="宋体"/>
          <w:color w:val="auto"/>
          <w:sz w:val="28"/>
          <w:szCs w:val="28"/>
        </w:rPr>
        <w:t>承诺向</w:t>
      </w:r>
      <w:r>
        <w:rPr>
          <w:rFonts w:hint="eastAsia" w:ascii="宋体" w:hAnsi="宋体" w:eastAsia="宋体"/>
          <w:color w:val="auto"/>
          <w:sz w:val="28"/>
          <w:szCs w:val="28"/>
          <w:lang w:eastAsia="zh-CN"/>
        </w:rPr>
        <w:t>学校</w:t>
      </w:r>
      <w:r>
        <w:rPr>
          <w:rFonts w:hint="eastAsia" w:ascii="宋体" w:hAnsi="宋体" w:eastAsia="宋体"/>
          <w:color w:val="auto"/>
          <w:sz w:val="28"/>
          <w:szCs w:val="28"/>
        </w:rPr>
        <w:t>提供不少于</w:t>
      </w:r>
      <w:r>
        <w:rPr>
          <w:rFonts w:hint="eastAsia" w:ascii="宋体" w:hAnsi="宋体" w:eastAsia="宋体"/>
          <w:color w:val="auto"/>
          <w:sz w:val="28"/>
          <w:szCs w:val="28"/>
          <w:lang w:val="en-US" w:eastAsia="zh-CN"/>
        </w:rPr>
        <w:t>3</w:t>
      </w:r>
      <w:r>
        <w:rPr>
          <w:rFonts w:hint="eastAsia" w:ascii="宋体" w:hAnsi="宋体" w:eastAsia="宋体"/>
          <w:color w:val="auto"/>
          <w:sz w:val="28"/>
          <w:szCs w:val="28"/>
        </w:rPr>
        <w:t>次的校内现场培训，以上培训均为免费提供</w:t>
      </w:r>
      <w:r>
        <w:rPr>
          <w:rFonts w:hint="eastAsia" w:ascii="宋体" w:hAnsi="宋体" w:eastAsia="宋体"/>
          <w:color w:val="auto"/>
          <w:sz w:val="28"/>
          <w:szCs w:val="28"/>
          <w:lang w:eastAsia="zh-CN"/>
        </w:rPr>
        <w:t>。</w:t>
      </w:r>
    </w:p>
    <w:p w14:paraId="6BF4B11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olor w:val="auto"/>
          <w:sz w:val="28"/>
          <w:szCs w:val="28"/>
          <w:lang w:eastAsia="zh-CN"/>
        </w:rPr>
      </w:pPr>
      <w:r>
        <w:rPr>
          <w:rFonts w:hint="eastAsia" w:ascii="宋体" w:hAnsi="宋体" w:eastAsia="宋体"/>
          <w:color w:val="auto"/>
          <w:sz w:val="28"/>
          <w:szCs w:val="28"/>
          <w:lang w:val="en-US" w:eastAsia="zh-CN"/>
        </w:rPr>
        <w:t>（2）</w:t>
      </w:r>
      <w:r>
        <w:rPr>
          <w:rFonts w:hint="eastAsia" w:ascii="宋体" w:hAnsi="宋体" w:eastAsia="宋体"/>
          <w:color w:val="auto"/>
          <w:sz w:val="28"/>
          <w:szCs w:val="28"/>
        </w:rPr>
        <w:t>软件平台因质量问题出现故障或不合格部分均由</w:t>
      </w:r>
      <w:r>
        <w:rPr>
          <w:rFonts w:hint="eastAsia" w:ascii="宋体" w:hAnsi="宋体" w:eastAsia="宋体"/>
          <w:color w:val="auto"/>
          <w:sz w:val="28"/>
          <w:szCs w:val="28"/>
          <w:lang w:eastAsia="zh-CN"/>
        </w:rPr>
        <w:t>中标人</w:t>
      </w:r>
      <w:r>
        <w:rPr>
          <w:rFonts w:hint="eastAsia" w:ascii="宋体" w:hAnsi="宋体" w:eastAsia="宋体"/>
          <w:color w:val="auto"/>
          <w:sz w:val="28"/>
          <w:szCs w:val="28"/>
        </w:rPr>
        <w:t>单位及时处理，发生的一切费用由</w:t>
      </w:r>
      <w:r>
        <w:rPr>
          <w:rFonts w:hint="eastAsia" w:ascii="宋体" w:hAnsi="宋体" w:eastAsia="宋体"/>
          <w:color w:val="auto"/>
          <w:sz w:val="28"/>
          <w:szCs w:val="28"/>
          <w:lang w:eastAsia="zh-CN"/>
        </w:rPr>
        <w:t>中标人</w:t>
      </w:r>
      <w:r>
        <w:rPr>
          <w:rFonts w:hint="eastAsia" w:ascii="宋体" w:hAnsi="宋体" w:eastAsia="宋体"/>
          <w:color w:val="auto"/>
          <w:sz w:val="28"/>
          <w:szCs w:val="28"/>
        </w:rPr>
        <w:t>承担</w:t>
      </w:r>
      <w:r>
        <w:rPr>
          <w:rFonts w:hint="eastAsia" w:ascii="宋体" w:hAnsi="宋体"/>
          <w:color w:val="auto"/>
          <w:sz w:val="28"/>
          <w:szCs w:val="28"/>
          <w:lang w:eastAsia="zh-CN"/>
        </w:rPr>
        <w:t>；中标人在服务期内</w:t>
      </w:r>
      <w:r>
        <w:rPr>
          <w:rFonts w:hint="eastAsia" w:ascii="宋体" w:hAnsi="宋体"/>
          <w:color w:val="auto"/>
          <w:sz w:val="28"/>
          <w:szCs w:val="28"/>
          <w:lang w:val="en-US" w:eastAsia="zh-CN"/>
        </w:rPr>
        <w:t>免费</w:t>
      </w:r>
      <w:r>
        <w:rPr>
          <w:rFonts w:hint="eastAsia" w:ascii="宋体" w:hAnsi="宋体" w:eastAsia="宋体"/>
          <w:color w:val="auto"/>
          <w:sz w:val="28"/>
          <w:szCs w:val="28"/>
        </w:rPr>
        <w:t>提供系统升级</w:t>
      </w:r>
      <w:r>
        <w:rPr>
          <w:rFonts w:hint="eastAsia" w:ascii="宋体" w:hAnsi="宋体" w:eastAsia="宋体" w:cs="Times New Roman"/>
          <w:color w:val="auto"/>
          <w:sz w:val="28"/>
          <w:szCs w:val="28"/>
        </w:rPr>
        <w:t>服务</w:t>
      </w:r>
      <w:r>
        <w:rPr>
          <w:rFonts w:hint="eastAsia" w:ascii="宋体" w:hAnsi="宋体" w:eastAsia="宋体" w:cs="Times New Roman"/>
          <w:color w:val="auto"/>
          <w:sz w:val="28"/>
          <w:szCs w:val="28"/>
          <w:lang w:eastAsia="zh-CN"/>
        </w:rPr>
        <w:t>。</w:t>
      </w:r>
    </w:p>
    <w:p w14:paraId="5596F7B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olor w:val="auto"/>
          <w:sz w:val="28"/>
          <w:szCs w:val="28"/>
          <w:lang w:eastAsia="zh-CN"/>
        </w:rPr>
      </w:pPr>
      <w:r>
        <w:rPr>
          <w:rFonts w:hint="eastAsia" w:ascii="宋体" w:hAnsi="宋体" w:eastAsia="宋体"/>
          <w:color w:val="auto"/>
          <w:sz w:val="28"/>
          <w:szCs w:val="28"/>
          <w:lang w:val="en-US" w:eastAsia="zh-CN"/>
        </w:rPr>
        <w:t>（3）</w:t>
      </w:r>
      <w:r>
        <w:rPr>
          <w:rFonts w:hint="eastAsia" w:ascii="宋体" w:hAnsi="宋体" w:eastAsia="宋体"/>
          <w:color w:val="auto"/>
          <w:sz w:val="28"/>
          <w:szCs w:val="28"/>
        </w:rPr>
        <w:t>软件承制单位需在服务期内提供平台使用技术支持，包括对老师和学生提供7*2</w:t>
      </w:r>
      <w:r>
        <w:rPr>
          <w:rFonts w:ascii="宋体" w:hAnsi="宋体" w:eastAsia="宋体"/>
          <w:color w:val="auto"/>
          <w:sz w:val="28"/>
          <w:szCs w:val="28"/>
        </w:rPr>
        <w:t>4</w:t>
      </w:r>
      <w:r>
        <w:rPr>
          <w:rFonts w:hint="eastAsia" w:ascii="宋体" w:hAnsi="宋体" w:eastAsia="宋体"/>
          <w:color w:val="auto"/>
          <w:sz w:val="28"/>
          <w:szCs w:val="28"/>
        </w:rPr>
        <w:t>小时在线客服、使用帮助服务群等方式的使用支持，在重大测试或执行重要任务期间，</w:t>
      </w:r>
      <w:r>
        <w:rPr>
          <w:rFonts w:hint="eastAsia" w:ascii="宋体" w:hAnsi="宋体" w:eastAsia="宋体"/>
          <w:color w:val="auto"/>
          <w:sz w:val="28"/>
          <w:szCs w:val="28"/>
          <w:lang w:eastAsia="zh-CN"/>
        </w:rPr>
        <w:t>中标人</w:t>
      </w:r>
      <w:r>
        <w:rPr>
          <w:rFonts w:hint="eastAsia" w:ascii="宋体" w:hAnsi="宋体" w:eastAsia="宋体"/>
          <w:color w:val="auto"/>
          <w:sz w:val="28"/>
          <w:szCs w:val="28"/>
        </w:rPr>
        <w:t>需安排技术人员到现场提供支持，确保系统的正常运行</w:t>
      </w:r>
      <w:r>
        <w:rPr>
          <w:rFonts w:hint="eastAsia" w:ascii="宋体" w:hAnsi="宋体" w:eastAsia="宋体"/>
          <w:color w:val="auto"/>
          <w:sz w:val="28"/>
          <w:szCs w:val="28"/>
          <w:lang w:eastAsia="zh-CN"/>
        </w:rPr>
        <w:t>。</w:t>
      </w:r>
    </w:p>
    <w:p w14:paraId="5A562F3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000000"/>
          <w:kern w:val="0"/>
          <w:sz w:val="28"/>
          <w:szCs w:val="28"/>
        </w:rPr>
      </w:pPr>
      <w:r>
        <w:rPr>
          <w:rFonts w:hint="eastAsia" w:ascii="宋体" w:hAnsi="宋体" w:eastAsia="宋体"/>
          <w:color w:val="auto"/>
          <w:sz w:val="28"/>
          <w:szCs w:val="28"/>
          <w:lang w:val="en-US" w:eastAsia="zh-CN"/>
        </w:rPr>
        <w:t>（4）</w:t>
      </w:r>
      <w:r>
        <w:rPr>
          <w:rFonts w:hint="eastAsia" w:ascii="宋体" w:hAnsi="宋体" w:eastAsia="宋体"/>
          <w:color w:val="auto"/>
          <w:sz w:val="28"/>
          <w:szCs w:val="28"/>
          <w:lang w:eastAsia="zh-CN"/>
        </w:rPr>
        <w:t>中标人</w:t>
      </w:r>
      <w:r>
        <w:rPr>
          <w:rFonts w:hint="eastAsia" w:ascii="宋体" w:hAnsi="宋体" w:eastAsia="宋体"/>
          <w:color w:val="auto"/>
          <w:sz w:val="28"/>
          <w:szCs w:val="28"/>
        </w:rPr>
        <w:t>需为学校配备不少于</w:t>
      </w:r>
      <w:r>
        <w:rPr>
          <w:rFonts w:hint="eastAsia" w:ascii="宋体" w:hAnsi="宋体" w:eastAsia="宋体"/>
          <w:color w:val="auto"/>
          <w:sz w:val="28"/>
          <w:szCs w:val="28"/>
          <w:lang w:val="en-US" w:eastAsia="zh-CN"/>
        </w:rPr>
        <w:t>2</w:t>
      </w:r>
      <w:r>
        <w:rPr>
          <w:rFonts w:hint="eastAsia" w:ascii="宋体" w:hAnsi="宋体" w:eastAsia="宋体"/>
          <w:color w:val="auto"/>
          <w:sz w:val="28"/>
          <w:szCs w:val="28"/>
        </w:rPr>
        <w:t>人的技术服务</w:t>
      </w:r>
      <w:r>
        <w:rPr>
          <w:rFonts w:hint="eastAsia" w:ascii="宋体" w:hAnsi="宋体" w:eastAsia="宋体"/>
          <w:color w:val="auto"/>
          <w:sz w:val="28"/>
          <w:szCs w:val="28"/>
          <w:lang w:val="en-US" w:eastAsia="zh-CN"/>
        </w:rPr>
        <w:t>人员</w:t>
      </w:r>
      <w:r>
        <w:rPr>
          <w:rFonts w:hint="eastAsia" w:ascii="宋体" w:hAnsi="宋体" w:eastAsia="宋体"/>
          <w:color w:val="auto"/>
          <w:sz w:val="28"/>
          <w:szCs w:val="28"/>
        </w:rPr>
        <w:t>，配备服务电话，提供跟踪维护和技术支援；提供4小时响应、2</w:t>
      </w:r>
      <w:r>
        <w:rPr>
          <w:rFonts w:ascii="宋体" w:hAnsi="宋体" w:eastAsia="宋体"/>
          <w:color w:val="auto"/>
          <w:sz w:val="28"/>
          <w:szCs w:val="28"/>
        </w:rPr>
        <w:t>4</w:t>
      </w:r>
      <w:r>
        <w:rPr>
          <w:rFonts w:hint="eastAsia" w:ascii="宋体" w:hAnsi="宋体" w:eastAsia="宋体"/>
          <w:color w:val="auto"/>
          <w:sz w:val="28"/>
          <w:szCs w:val="28"/>
        </w:rPr>
        <w:t>小时排除故障的保障。</w:t>
      </w:r>
    </w:p>
    <w:p w14:paraId="247B6C2F">
      <w:pPr>
        <w:tabs>
          <w:tab w:val="left" w:pos="709"/>
          <w:tab w:val="left" w:pos="993"/>
          <w:tab w:val="left" w:pos="1418"/>
        </w:tabs>
        <w:rPr>
          <w:rFonts w:hint="default" w:ascii="宋体" w:hAnsi="宋体"/>
          <w:bCs/>
          <w:color w:val="000000"/>
          <w:kern w:val="0"/>
          <w:sz w:val="28"/>
          <w:szCs w:val="28"/>
          <w:lang w:val="en-US"/>
        </w:rPr>
      </w:pPr>
      <w:r>
        <w:rPr>
          <w:rFonts w:hint="eastAsia" w:ascii="宋体" w:hAnsi="宋体"/>
          <w:b/>
          <w:color w:val="000000"/>
          <w:kern w:val="0"/>
          <w:sz w:val="28"/>
          <w:szCs w:val="28"/>
          <w:lang w:val="en-US" w:eastAsia="zh-CN"/>
        </w:rPr>
        <w:t>四</w:t>
      </w:r>
      <w:r>
        <w:rPr>
          <w:rFonts w:hint="eastAsia" w:ascii="宋体" w:hAnsi="宋体"/>
          <w:b/>
          <w:color w:val="000000"/>
          <w:kern w:val="0"/>
          <w:sz w:val="28"/>
          <w:szCs w:val="28"/>
        </w:rPr>
        <w:t>、采购项目完工期：</w:t>
      </w:r>
      <w:r>
        <w:rPr>
          <w:rFonts w:hint="eastAsia" w:ascii="宋体" w:hAnsi="宋体" w:eastAsia="宋体" w:cs="Times New Roman"/>
          <w:color w:val="auto"/>
          <w:sz w:val="28"/>
          <w:szCs w:val="28"/>
          <w:lang w:eastAsia="zh-CN"/>
        </w:rPr>
        <w:t>合同签订后7个日历天内完成交付</w:t>
      </w:r>
    </w:p>
    <w:p w14:paraId="2A116863">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五</w:t>
      </w:r>
      <w:r>
        <w:rPr>
          <w:rFonts w:hint="eastAsia" w:ascii="宋体" w:hAnsi="宋体"/>
          <w:b/>
          <w:color w:val="000000"/>
          <w:kern w:val="0"/>
          <w:sz w:val="28"/>
          <w:szCs w:val="28"/>
        </w:rPr>
        <w:t>、采购项目交付或执行的地点：</w:t>
      </w:r>
      <w:r>
        <w:rPr>
          <w:rFonts w:hint="eastAsia" w:ascii="宋体" w:hAnsi="宋体" w:eastAsia="宋体" w:cs="Times New Roman"/>
          <w:color w:val="auto"/>
          <w:sz w:val="28"/>
          <w:szCs w:val="28"/>
          <w:lang w:eastAsia="zh-CN"/>
        </w:rPr>
        <w:t>江苏信息职业技术学院</w:t>
      </w:r>
    </w:p>
    <w:p w14:paraId="78DE764D">
      <w:pPr>
        <w:tabs>
          <w:tab w:val="left" w:pos="709"/>
          <w:tab w:val="left" w:pos="993"/>
          <w:tab w:val="left" w:pos="1418"/>
        </w:tabs>
        <w:rPr>
          <w:rFonts w:hint="eastAsia" w:eastAsia="宋体"/>
          <w:bCs/>
          <w:color w:val="000000"/>
          <w:sz w:val="24"/>
          <w:lang w:eastAsia="zh-CN"/>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hint="eastAsia" w:ascii="宋体" w:hAnsi="宋体" w:eastAsia="宋体" w:cs="Times New Roman"/>
          <w:color w:val="auto"/>
          <w:sz w:val="28"/>
          <w:szCs w:val="28"/>
          <w:lang w:eastAsia="zh-CN"/>
        </w:rPr>
        <w:t>交付</w:t>
      </w:r>
      <w:r>
        <w:rPr>
          <w:rFonts w:hint="eastAsia" w:ascii="宋体" w:hAnsi="宋体" w:eastAsia="宋体" w:cs="Times New Roman"/>
          <w:color w:val="auto"/>
          <w:sz w:val="28"/>
          <w:szCs w:val="28"/>
          <w:lang w:val="en-US" w:eastAsia="zh-CN"/>
        </w:rPr>
        <w:t>完成后，乙方提供发票给甲方，甲方支付中标金额的90%，2026年12月前支付中标金额的10%。</w:t>
      </w: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1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1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1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2"/>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满足招标文件要求，一次性验收通过100%合格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tbl>
      <w:tblPr>
        <w:tblStyle w:val="22"/>
        <w:tblW w:w="5000" w:type="pct"/>
        <w:tblInd w:w="0" w:type="dxa"/>
        <w:tblLayout w:type="autofit"/>
        <w:tblCellMar>
          <w:top w:w="0" w:type="dxa"/>
          <w:left w:w="0" w:type="dxa"/>
          <w:bottom w:w="0" w:type="dxa"/>
          <w:right w:w="0" w:type="dxa"/>
        </w:tblCellMar>
      </w:tblPr>
      <w:tblGrid>
        <w:gridCol w:w="677"/>
        <w:gridCol w:w="1099"/>
        <w:gridCol w:w="1236"/>
        <w:gridCol w:w="2059"/>
        <w:gridCol w:w="959"/>
        <w:gridCol w:w="739"/>
        <w:gridCol w:w="780"/>
        <w:gridCol w:w="795"/>
      </w:tblGrid>
      <w:tr w14:paraId="52111B61">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3986129">
            <w:pPr>
              <w:widowControl/>
              <w:jc w:val="center"/>
              <w:rPr>
                <w:rFonts w:hint="eastAsia"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7D4404E">
            <w:pPr>
              <w:widowControl/>
              <w:jc w:val="center"/>
              <w:rPr>
                <w:rFonts w:hint="eastAsia"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4B3C515">
            <w:pPr>
              <w:widowControl/>
              <w:jc w:val="center"/>
              <w:rPr>
                <w:rFonts w:hint="eastAsia"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6F9C7AD0">
            <w:pPr>
              <w:widowControl/>
              <w:jc w:val="center"/>
              <w:rPr>
                <w:rFonts w:hint="eastAsia"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612062A4">
            <w:pPr>
              <w:widowControl/>
              <w:jc w:val="center"/>
              <w:rPr>
                <w:rFonts w:hint="eastAsia"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327508C4">
            <w:pPr>
              <w:widowControl/>
              <w:jc w:val="center"/>
              <w:rPr>
                <w:rFonts w:hint="eastAsia"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EDE2337">
            <w:pPr>
              <w:widowControl/>
              <w:jc w:val="center"/>
              <w:rPr>
                <w:rFonts w:hint="eastAsia" w:ascii="宋体" w:hAnsi="宋体" w:cs="宋体"/>
                <w:kern w:val="0"/>
                <w:sz w:val="24"/>
              </w:rPr>
            </w:pPr>
            <w:r>
              <w:rPr>
                <w:rFonts w:hint="eastAsia" w:ascii="宋体" w:hAnsi="宋体" w:cs="宋体"/>
                <w:kern w:val="0"/>
                <w:sz w:val="24"/>
              </w:rPr>
              <w:t>单价</w:t>
            </w:r>
          </w:p>
          <w:p w14:paraId="3AF9D0EB">
            <w:pPr>
              <w:widowControl/>
              <w:jc w:val="center"/>
              <w:rPr>
                <w:rFonts w:hint="eastAsia"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1CD09C58">
            <w:pPr>
              <w:widowControl/>
              <w:jc w:val="center"/>
              <w:rPr>
                <w:rFonts w:hint="eastAsia" w:ascii="宋体" w:hAnsi="宋体" w:cs="宋体"/>
                <w:kern w:val="0"/>
                <w:sz w:val="24"/>
              </w:rPr>
            </w:pPr>
            <w:r>
              <w:rPr>
                <w:rFonts w:hint="eastAsia" w:ascii="宋体" w:hAnsi="宋体" w:cs="宋体"/>
                <w:kern w:val="0"/>
                <w:sz w:val="24"/>
              </w:rPr>
              <w:t>合价</w:t>
            </w:r>
          </w:p>
          <w:p w14:paraId="0A0A8EB3">
            <w:pPr>
              <w:widowControl/>
              <w:jc w:val="center"/>
              <w:rPr>
                <w:rFonts w:hint="eastAsia" w:ascii="宋体" w:hAnsi="宋体" w:cs="宋体"/>
                <w:kern w:val="0"/>
                <w:sz w:val="24"/>
              </w:rPr>
            </w:pPr>
            <w:r>
              <w:rPr>
                <w:rFonts w:hint="eastAsia" w:ascii="宋体" w:hAnsi="宋体" w:cs="宋体"/>
                <w:kern w:val="0"/>
                <w:sz w:val="24"/>
              </w:rPr>
              <w:t>（元）</w:t>
            </w:r>
          </w:p>
        </w:tc>
      </w:tr>
      <w:tr w14:paraId="18F973E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5543479">
            <w:pPr>
              <w:widowControl/>
              <w:jc w:val="center"/>
              <w:rPr>
                <w:rFonts w:hint="eastAsia"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A6DF6CD">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7A1DF3B">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7FD9C39">
            <w:pPr>
              <w:widowControl/>
              <w:spacing w:after="75"/>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75EFC9E">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20DFE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DF9DFE0">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60E9867">
            <w:pPr>
              <w:widowControl/>
              <w:jc w:val="center"/>
              <w:rPr>
                <w:rFonts w:hint="eastAsia" w:ascii="宋体" w:hAnsi="宋体" w:cs="宋体"/>
                <w:kern w:val="0"/>
                <w:sz w:val="24"/>
              </w:rPr>
            </w:pPr>
          </w:p>
        </w:tc>
      </w:tr>
      <w:tr w14:paraId="3579ECCF">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4E0E9AB">
            <w:pPr>
              <w:widowControl/>
              <w:jc w:val="center"/>
              <w:rPr>
                <w:rFonts w:hint="eastAsia"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3712328">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65E8DCD">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472A3E6">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7D0691C2">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012AC34">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764E995">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561D6CB">
            <w:pPr>
              <w:widowControl/>
              <w:jc w:val="center"/>
              <w:rPr>
                <w:rFonts w:hint="eastAsia" w:ascii="宋体" w:hAnsi="宋体" w:cs="宋体"/>
                <w:kern w:val="0"/>
                <w:sz w:val="24"/>
              </w:rPr>
            </w:pPr>
          </w:p>
        </w:tc>
      </w:tr>
      <w:tr w14:paraId="65C2546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E8A7B">
            <w:pPr>
              <w:widowControl/>
              <w:jc w:val="center"/>
              <w:rPr>
                <w:rFonts w:hint="eastAsia"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E935CE4">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65F3FE4">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F22D5FC">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677FB51">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3F112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2706A17">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7DA2B338">
            <w:pPr>
              <w:widowControl/>
              <w:jc w:val="center"/>
              <w:rPr>
                <w:rFonts w:hint="eastAsia" w:ascii="宋体" w:hAnsi="宋体" w:cs="宋体"/>
                <w:kern w:val="0"/>
                <w:sz w:val="24"/>
              </w:rPr>
            </w:pPr>
          </w:p>
        </w:tc>
      </w:tr>
      <w:tr w14:paraId="2081750A">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B2C73A4">
            <w:pPr>
              <w:widowControl/>
              <w:jc w:val="center"/>
              <w:rPr>
                <w:rFonts w:hint="eastAsia"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5D4953">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CD2BA9C">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B4DDB1F">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4DC160C">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A467F6A">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D92A9B3">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E85079B">
            <w:pPr>
              <w:widowControl/>
              <w:jc w:val="center"/>
              <w:rPr>
                <w:rFonts w:hint="eastAsia" w:ascii="宋体" w:hAnsi="宋体" w:cs="宋体"/>
                <w:kern w:val="0"/>
                <w:sz w:val="24"/>
              </w:rPr>
            </w:pPr>
          </w:p>
        </w:tc>
      </w:tr>
      <w:tr w14:paraId="07971196">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3CF29">
            <w:pPr>
              <w:widowControl/>
              <w:jc w:val="center"/>
              <w:rPr>
                <w:rFonts w:hint="eastAsia"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2DF1928">
            <w:pPr>
              <w:widowControl/>
              <w:jc w:val="center"/>
              <w:rPr>
                <w:rFonts w:hint="eastAsia"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3D4F563">
            <w:pPr>
              <w:widowControl/>
              <w:ind w:firstLine="489"/>
              <w:rPr>
                <w:rFonts w:hint="eastAsia"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4BD6B97F">
            <w:pPr>
              <w:widowControl/>
              <w:rPr>
                <w:rFonts w:hint="eastAsia" w:ascii="宋体" w:hAnsi="宋体" w:cs="宋体"/>
                <w:kern w:val="0"/>
                <w:sz w:val="24"/>
              </w:rPr>
            </w:pPr>
          </w:p>
        </w:tc>
      </w:tr>
    </w:tbl>
    <w:p w14:paraId="498A4FCE"/>
    <w:p w14:paraId="5A246109">
      <w:pPr>
        <w:spacing w:line="360" w:lineRule="auto"/>
        <w:rPr>
          <w:rFonts w:hint="eastAsia" w:ascii="宋体" w:hAnsi="宋体"/>
          <w:sz w:val="24"/>
        </w:rPr>
      </w:pPr>
      <w:r>
        <w:rPr>
          <w:rFonts w:hint="eastAsia" w:ascii="宋体" w:hAnsi="宋体"/>
          <w:sz w:val="24"/>
        </w:rPr>
        <w:t xml:space="preserve">投标人名称：（章）                 法人或授权代表（签名）：             </w:t>
      </w:r>
    </w:p>
    <w:p w14:paraId="40AB6FE2">
      <w:pPr>
        <w:spacing w:line="360" w:lineRule="auto"/>
        <w:rPr>
          <w:rFonts w:hint="eastAsia"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0BF0143C">
      <w:pPr>
        <w:spacing w:line="360" w:lineRule="auto"/>
        <w:ind w:firstLine="480" w:firstLineChars="200"/>
        <w:rPr>
          <w:color w:val="000000"/>
          <w:sz w:val="24"/>
        </w:rPr>
      </w:pP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640514"/>
    <w:multiLevelType w:val="singleLevel"/>
    <w:tmpl w:val="A0640514"/>
    <w:lvl w:ilvl="0" w:tentative="0">
      <w:start w:val="1"/>
      <w:numFmt w:val="decimal"/>
      <w:suff w:val="nothing"/>
      <w:lvlText w:val="（%1）"/>
      <w:lvlJc w:val="left"/>
    </w:lvl>
  </w:abstractNum>
  <w:abstractNum w:abstractNumId="1">
    <w:nsid w:val="A6E97478"/>
    <w:multiLevelType w:val="singleLevel"/>
    <w:tmpl w:val="A6E97478"/>
    <w:lvl w:ilvl="0" w:tentative="0">
      <w:start w:val="2"/>
      <w:numFmt w:val="chineseCounting"/>
      <w:suff w:val="nothing"/>
      <w:lvlText w:val="%1、"/>
      <w:lvlJc w:val="left"/>
      <w:rPr>
        <w:rFonts w:hint="eastAsia"/>
      </w:rPr>
    </w:lvl>
  </w:abstractNum>
  <w:abstractNum w:abstractNumId="2">
    <w:nsid w:val="ABF730E9"/>
    <w:multiLevelType w:val="singleLevel"/>
    <w:tmpl w:val="ABF730E9"/>
    <w:lvl w:ilvl="0" w:tentative="0">
      <w:start w:val="1"/>
      <w:numFmt w:val="decimal"/>
      <w:suff w:val="nothing"/>
      <w:lvlText w:val="（%1）"/>
      <w:lvlJc w:val="left"/>
    </w:lvl>
  </w:abstractNum>
  <w:abstractNum w:abstractNumId="3">
    <w:nsid w:val="B12CC87F"/>
    <w:multiLevelType w:val="singleLevel"/>
    <w:tmpl w:val="B12CC87F"/>
    <w:lvl w:ilvl="0" w:tentative="0">
      <w:start w:val="1"/>
      <w:numFmt w:val="upperLetter"/>
      <w:lvlText w:val="%1."/>
      <w:lvlJc w:val="left"/>
      <w:pPr>
        <w:tabs>
          <w:tab w:val="left" w:pos="312"/>
        </w:tabs>
      </w:pPr>
    </w:lvl>
  </w:abstractNum>
  <w:abstractNum w:abstractNumId="4">
    <w:nsid w:val="CDC6365A"/>
    <w:multiLevelType w:val="singleLevel"/>
    <w:tmpl w:val="CDC6365A"/>
    <w:lvl w:ilvl="0" w:tentative="0">
      <w:start w:val="1"/>
      <w:numFmt w:val="decimal"/>
      <w:suff w:val="nothing"/>
      <w:lvlText w:val="（%1）"/>
      <w:lvlJc w:val="left"/>
    </w:lvl>
  </w:abstractNum>
  <w:abstractNum w:abstractNumId="5">
    <w:nsid w:val="1371846A"/>
    <w:multiLevelType w:val="singleLevel"/>
    <w:tmpl w:val="1371846A"/>
    <w:lvl w:ilvl="0" w:tentative="0">
      <w:start w:val="1"/>
      <w:numFmt w:val="upperLetter"/>
      <w:lvlText w:val="%1."/>
      <w:lvlJc w:val="left"/>
      <w:pPr>
        <w:tabs>
          <w:tab w:val="left" w:pos="312"/>
        </w:tabs>
      </w:pPr>
    </w:lvl>
  </w:abstractNum>
  <w:abstractNum w:abstractNumId="6">
    <w:nsid w:val="2891088A"/>
    <w:multiLevelType w:val="singleLevel"/>
    <w:tmpl w:val="2891088A"/>
    <w:lvl w:ilvl="0" w:tentative="0">
      <w:start w:val="1"/>
      <w:numFmt w:val="decimal"/>
      <w:suff w:val="nothing"/>
      <w:lvlText w:val="（%1）"/>
      <w:lvlJc w:val="left"/>
    </w:lvl>
  </w:abstractNum>
  <w:abstractNum w:abstractNumId="7">
    <w:nsid w:val="2A62D1FB"/>
    <w:multiLevelType w:val="singleLevel"/>
    <w:tmpl w:val="2A62D1FB"/>
    <w:lvl w:ilvl="0" w:tentative="0">
      <w:start w:val="1"/>
      <w:numFmt w:val="decimal"/>
      <w:suff w:val="nothing"/>
      <w:lvlText w:val="（%1）"/>
      <w:lvlJc w:val="left"/>
    </w:lvl>
  </w:abstractNum>
  <w:abstractNum w:abstractNumId="8">
    <w:nsid w:val="55CAF918"/>
    <w:multiLevelType w:val="singleLevel"/>
    <w:tmpl w:val="55CAF918"/>
    <w:lvl w:ilvl="0" w:tentative="0">
      <w:start w:val="1"/>
      <w:numFmt w:val="upperLetter"/>
      <w:lvlText w:val="%1."/>
      <w:lvlJc w:val="left"/>
      <w:pPr>
        <w:tabs>
          <w:tab w:val="left" w:pos="312"/>
        </w:tabs>
      </w:pPr>
    </w:lvl>
  </w:abstractNum>
  <w:abstractNum w:abstractNumId="9">
    <w:nsid w:val="64429130"/>
    <w:multiLevelType w:val="singleLevel"/>
    <w:tmpl w:val="64429130"/>
    <w:lvl w:ilvl="0" w:tentative="0">
      <w:start w:val="1"/>
      <w:numFmt w:val="decimal"/>
      <w:suff w:val="nothing"/>
      <w:lvlText w:val="（%1）"/>
      <w:lvlJc w:val="left"/>
    </w:lvl>
  </w:abstractNum>
  <w:abstractNum w:abstractNumId="1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4"/>
  </w:num>
  <w:num w:numId="3">
    <w:abstractNumId w:val="7"/>
  </w:num>
  <w:num w:numId="4">
    <w:abstractNumId w:val="2"/>
  </w:num>
  <w:num w:numId="5">
    <w:abstractNumId w:val="3"/>
  </w:num>
  <w:num w:numId="6">
    <w:abstractNumId w:val="8"/>
  </w:num>
  <w:num w:numId="7">
    <w:abstractNumId w:val="5"/>
  </w:num>
  <w:num w:numId="8">
    <w:abstractNumId w:val="0"/>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6320C6"/>
    <w:rsid w:val="007060F2"/>
    <w:rsid w:val="00721E1F"/>
    <w:rsid w:val="007A5C45"/>
    <w:rsid w:val="007B5823"/>
    <w:rsid w:val="008167E1"/>
    <w:rsid w:val="008A628A"/>
    <w:rsid w:val="00923994"/>
    <w:rsid w:val="00A877D9"/>
    <w:rsid w:val="00BB3471"/>
    <w:rsid w:val="00C52B63"/>
    <w:rsid w:val="00C779B1"/>
    <w:rsid w:val="00CB6EF7"/>
    <w:rsid w:val="00DE042F"/>
    <w:rsid w:val="00F6775E"/>
    <w:rsid w:val="00FF5636"/>
    <w:rsid w:val="15D8166C"/>
    <w:rsid w:val="1DBF1061"/>
    <w:rsid w:val="2C653369"/>
    <w:rsid w:val="353F5DA7"/>
    <w:rsid w:val="572C5231"/>
    <w:rsid w:val="60264C55"/>
    <w:rsid w:val="6CCD4B30"/>
    <w:rsid w:val="771438A7"/>
    <w:rsid w:val="7B7F3B1E"/>
    <w:rsid w:val="7E2B2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8"/>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5">
    <w:name w:val="heading 2"/>
    <w:basedOn w:val="1"/>
    <w:next w:val="1"/>
    <w:link w:val="2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6">
    <w:name w:val="heading 3"/>
    <w:basedOn w:val="1"/>
    <w:next w:val="1"/>
    <w:link w:val="30"/>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7">
    <w:name w:val="heading 4"/>
    <w:basedOn w:val="1"/>
    <w:next w:val="1"/>
    <w:link w:val="31"/>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8">
    <w:name w:val="heading 5"/>
    <w:basedOn w:val="1"/>
    <w:next w:val="1"/>
    <w:link w:val="32"/>
    <w:semiHidden/>
    <w:unhideWhenUsed/>
    <w:qFormat/>
    <w:uiPriority w:val="9"/>
    <w:pPr>
      <w:keepNext/>
      <w:keepLines/>
      <w:spacing w:before="80" w:after="40"/>
      <w:outlineLvl w:val="4"/>
    </w:pPr>
    <w:rPr>
      <w:rFonts w:cstheme="majorBidi"/>
      <w:color w:val="104862" w:themeColor="accent1" w:themeShade="BF"/>
      <w:sz w:val="24"/>
    </w:rPr>
  </w:style>
  <w:style w:type="paragraph" w:styleId="9">
    <w:name w:val="heading 6"/>
    <w:basedOn w:val="1"/>
    <w:next w:val="1"/>
    <w:link w:val="33"/>
    <w:autoRedefine/>
    <w:semiHidden/>
    <w:unhideWhenUsed/>
    <w:qFormat/>
    <w:uiPriority w:val="9"/>
    <w:pPr>
      <w:keepNext/>
      <w:keepLines/>
      <w:spacing w:before="40"/>
      <w:outlineLvl w:val="5"/>
    </w:pPr>
    <w:rPr>
      <w:rFonts w:cstheme="majorBidi"/>
      <w:b/>
      <w:bCs/>
      <w:color w:val="104862" w:themeColor="accent1" w:themeShade="BF"/>
    </w:rPr>
  </w:style>
  <w:style w:type="paragraph" w:styleId="10">
    <w:name w:val="heading 7"/>
    <w:basedOn w:val="1"/>
    <w:next w:val="1"/>
    <w:link w:val="34"/>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35"/>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36"/>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570"/>
    </w:pPr>
    <w:rPr>
      <w:sz w:val="24"/>
    </w:rPr>
  </w:style>
  <w:style w:type="paragraph" w:styleId="3">
    <w:name w:val="envelope return"/>
    <w:basedOn w:val="1"/>
    <w:unhideWhenUsed/>
    <w:qFormat/>
    <w:uiPriority w:val="99"/>
    <w:pPr>
      <w:snapToGrid w:val="0"/>
    </w:pPr>
    <w:rPr>
      <w:rFonts w:ascii="Arial" w:hAnsi="Arial"/>
    </w:rPr>
  </w:style>
  <w:style w:type="paragraph" w:styleId="13">
    <w:name w:val="Body Text"/>
    <w:basedOn w:val="1"/>
    <w:next w:val="1"/>
    <w:unhideWhenUsed/>
    <w:qFormat/>
    <w:uiPriority w:val="99"/>
    <w:pPr>
      <w:spacing w:after="120"/>
    </w:pPr>
  </w:style>
  <w:style w:type="paragraph" w:styleId="14">
    <w:name w:val="Date"/>
    <w:basedOn w:val="1"/>
    <w:next w:val="1"/>
    <w:link w:val="48"/>
    <w:qFormat/>
    <w:uiPriority w:val="0"/>
    <w:pPr>
      <w:ind w:left="2500" w:leftChars="2500"/>
    </w:pPr>
    <w:rPr>
      <w:rFonts w:eastAsia="黑体"/>
      <w:kern w:val="0"/>
      <w:sz w:val="32"/>
    </w:rPr>
  </w:style>
  <w:style w:type="paragraph" w:styleId="15">
    <w:name w:val="footer"/>
    <w:basedOn w:val="1"/>
    <w:link w:val="47"/>
    <w:unhideWhenUsed/>
    <w:qFormat/>
    <w:uiPriority w:val="99"/>
    <w:pPr>
      <w:tabs>
        <w:tab w:val="center" w:pos="4153"/>
        <w:tab w:val="right" w:pos="8306"/>
      </w:tabs>
      <w:snapToGrid w:val="0"/>
    </w:pPr>
    <w:rPr>
      <w:sz w:val="18"/>
      <w:szCs w:val="18"/>
    </w:rPr>
  </w:style>
  <w:style w:type="paragraph" w:styleId="16">
    <w:name w:val="header"/>
    <w:basedOn w:val="1"/>
    <w:link w:val="46"/>
    <w:unhideWhenUsed/>
    <w:qFormat/>
    <w:uiPriority w:val="99"/>
    <w:pP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Subtitle"/>
    <w:basedOn w:val="1"/>
    <w:next w:val="1"/>
    <w:link w:val="38"/>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0">
    <w:name w:val="Title"/>
    <w:basedOn w:val="1"/>
    <w:next w:val="1"/>
    <w:link w:val="37"/>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21">
    <w:name w:val="Body Text First Indent"/>
    <w:basedOn w:val="13"/>
    <w:next w:val="1"/>
    <w:qFormat/>
    <w:uiPriority w:val="0"/>
    <w:pPr>
      <w:spacing w:after="0"/>
      <w:ind w:firstLine="723"/>
    </w:pPr>
    <w:rPr>
      <w:sz w:val="22"/>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bCs/>
    </w:rPr>
  </w:style>
  <w:style w:type="character" w:styleId="26">
    <w:name w:val="FollowedHyperlink"/>
    <w:qFormat/>
    <w:uiPriority w:val="0"/>
    <w:rPr>
      <w:color w:val="156356"/>
      <w:u w:val="none"/>
    </w:rPr>
  </w:style>
  <w:style w:type="character" w:styleId="27">
    <w:name w:val="Hyperlink"/>
    <w:qFormat/>
    <w:uiPriority w:val="0"/>
    <w:rPr>
      <w:color w:val="156356"/>
      <w:u w:val="none"/>
    </w:rPr>
  </w:style>
  <w:style w:type="character" w:customStyle="1" w:styleId="28">
    <w:name w:val="标题 1 字符"/>
    <w:basedOn w:val="24"/>
    <w:link w:val="4"/>
    <w:qFormat/>
    <w:uiPriority w:val="9"/>
    <w:rPr>
      <w:rFonts w:asciiTheme="majorHAnsi" w:hAnsiTheme="majorHAnsi" w:eastAsiaTheme="majorEastAsia" w:cstheme="majorBidi"/>
      <w:color w:val="104862" w:themeColor="accent1" w:themeShade="BF"/>
      <w:sz w:val="48"/>
      <w:szCs w:val="48"/>
    </w:rPr>
  </w:style>
  <w:style w:type="character" w:customStyle="1" w:styleId="29">
    <w:name w:val="标题 2 字符"/>
    <w:basedOn w:val="24"/>
    <w:link w:val="5"/>
    <w:semiHidden/>
    <w:qFormat/>
    <w:uiPriority w:val="9"/>
    <w:rPr>
      <w:rFonts w:asciiTheme="majorHAnsi" w:hAnsiTheme="majorHAnsi" w:eastAsiaTheme="majorEastAsia" w:cstheme="majorBidi"/>
      <w:color w:val="104862" w:themeColor="accent1" w:themeShade="BF"/>
      <w:sz w:val="40"/>
      <w:szCs w:val="40"/>
    </w:rPr>
  </w:style>
  <w:style w:type="character" w:customStyle="1" w:styleId="30">
    <w:name w:val="标题 3 字符"/>
    <w:basedOn w:val="24"/>
    <w:link w:val="6"/>
    <w:semiHidden/>
    <w:qFormat/>
    <w:uiPriority w:val="9"/>
    <w:rPr>
      <w:rFonts w:asciiTheme="majorHAnsi" w:hAnsiTheme="majorHAnsi" w:eastAsiaTheme="majorEastAsia" w:cstheme="majorBidi"/>
      <w:color w:val="104862" w:themeColor="accent1" w:themeShade="BF"/>
      <w:sz w:val="32"/>
      <w:szCs w:val="32"/>
    </w:rPr>
  </w:style>
  <w:style w:type="character" w:customStyle="1" w:styleId="31">
    <w:name w:val="标题 4 字符"/>
    <w:basedOn w:val="24"/>
    <w:link w:val="7"/>
    <w:semiHidden/>
    <w:qFormat/>
    <w:uiPriority w:val="9"/>
    <w:rPr>
      <w:rFonts w:cstheme="majorBidi"/>
      <w:color w:val="104862" w:themeColor="accent1" w:themeShade="BF"/>
      <w:sz w:val="28"/>
      <w:szCs w:val="28"/>
    </w:rPr>
  </w:style>
  <w:style w:type="character" w:customStyle="1" w:styleId="32">
    <w:name w:val="标题 5 字符"/>
    <w:basedOn w:val="24"/>
    <w:link w:val="8"/>
    <w:semiHidden/>
    <w:qFormat/>
    <w:uiPriority w:val="9"/>
    <w:rPr>
      <w:rFonts w:cstheme="majorBidi"/>
      <w:color w:val="104862" w:themeColor="accent1" w:themeShade="BF"/>
      <w:sz w:val="24"/>
    </w:rPr>
  </w:style>
  <w:style w:type="character" w:customStyle="1" w:styleId="33">
    <w:name w:val="标题 6 字符"/>
    <w:basedOn w:val="24"/>
    <w:link w:val="9"/>
    <w:semiHidden/>
    <w:qFormat/>
    <w:uiPriority w:val="9"/>
    <w:rPr>
      <w:rFonts w:cstheme="majorBidi"/>
      <w:b/>
      <w:bCs/>
      <w:color w:val="104862" w:themeColor="accent1" w:themeShade="BF"/>
    </w:rPr>
  </w:style>
  <w:style w:type="character" w:customStyle="1" w:styleId="34">
    <w:name w:val="标题 7 字符"/>
    <w:basedOn w:val="24"/>
    <w:link w:val="10"/>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5">
    <w:name w:val="标题 8 字符"/>
    <w:basedOn w:val="24"/>
    <w:link w:val="11"/>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6">
    <w:name w:val="标题 9 字符"/>
    <w:basedOn w:val="24"/>
    <w:link w:val="12"/>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7">
    <w:name w:val="标题 字符"/>
    <w:basedOn w:val="24"/>
    <w:link w:val="20"/>
    <w:qFormat/>
    <w:uiPriority w:val="10"/>
    <w:rPr>
      <w:rFonts w:asciiTheme="majorHAnsi" w:hAnsiTheme="majorHAnsi" w:eastAsiaTheme="majorEastAsia" w:cstheme="majorBidi"/>
      <w:spacing w:val="-10"/>
      <w:kern w:val="28"/>
      <w:sz w:val="56"/>
      <w:szCs w:val="56"/>
    </w:rPr>
  </w:style>
  <w:style w:type="character" w:customStyle="1" w:styleId="38">
    <w:name w:val="副标题 字符"/>
    <w:basedOn w:val="24"/>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9">
    <w:name w:val="Quote"/>
    <w:basedOn w:val="1"/>
    <w:next w:val="1"/>
    <w:link w:val="4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0">
    <w:name w:val="引用 字符"/>
    <w:basedOn w:val="24"/>
    <w:link w:val="39"/>
    <w:qFormat/>
    <w:uiPriority w:val="29"/>
    <w:rPr>
      <w:i/>
      <w:iCs/>
      <w:color w:val="404040" w:themeColor="text1" w:themeTint="BF"/>
      <w14:textFill>
        <w14:solidFill>
          <w14:schemeClr w14:val="tx1">
            <w14:lumMod w14:val="75000"/>
            <w14:lumOff w14:val="25000"/>
          </w14:schemeClr>
        </w14:solidFill>
      </w14:textFill>
    </w:rPr>
  </w:style>
  <w:style w:type="paragraph" w:styleId="41">
    <w:name w:val="List Paragraph"/>
    <w:basedOn w:val="1"/>
    <w:qFormat/>
    <w:uiPriority w:val="34"/>
    <w:pPr>
      <w:ind w:left="720"/>
      <w:contextualSpacing/>
    </w:pPr>
  </w:style>
  <w:style w:type="character" w:customStyle="1" w:styleId="42">
    <w:name w:val="明显强调1"/>
    <w:basedOn w:val="24"/>
    <w:qFormat/>
    <w:uiPriority w:val="21"/>
    <w:rPr>
      <w:i/>
      <w:iCs/>
      <w:color w:val="104862" w:themeColor="accent1" w:themeShade="BF"/>
    </w:rPr>
  </w:style>
  <w:style w:type="paragraph" w:styleId="43">
    <w:name w:val="Intense Quote"/>
    <w:basedOn w:val="1"/>
    <w:next w:val="1"/>
    <w:link w:val="4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4">
    <w:name w:val="明显引用 字符"/>
    <w:basedOn w:val="24"/>
    <w:link w:val="43"/>
    <w:qFormat/>
    <w:uiPriority w:val="30"/>
    <w:rPr>
      <w:i/>
      <w:iCs/>
      <w:color w:val="104862" w:themeColor="accent1" w:themeShade="BF"/>
    </w:rPr>
  </w:style>
  <w:style w:type="character" w:customStyle="1" w:styleId="45">
    <w:name w:val="明显参考1"/>
    <w:basedOn w:val="24"/>
    <w:qFormat/>
    <w:uiPriority w:val="32"/>
    <w:rPr>
      <w:b/>
      <w:bCs/>
      <w:smallCaps/>
      <w:color w:val="104862" w:themeColor="accent1" w:themeShade="BF"/>
      <w:spacing w:val="5"/>
    </w:rPr>
  </w:style>
  <w:style w:type="character" w:customStyle="1" w:styleId="46">
    <w:name w:val="页眉 字符"/>
    <w:basedOn w:val="24"/>
    <w:link w:val="16"/>
    <w:qFormat/>
    <w:uiPriority w:val="99"/>
    <w:rPr>
      <w:sz w:val="18"/>
      <w:szCs w:val="18"/>
    </w:rPr>
  </w:style>
  <w:style w:type="character" w:customStyle="1" w:styleId="47">
    <w:name w:val="页脚 字符"/>
    <w:basedOn w:val="24"/>
    <w:link w:val="15"/>
    <w:qFormat/>
    <w:uiPriority w:val="99"/>
    <w:rPr>
      <w:sz w:val="18"/>
      <w:szCs w:val="18"/>
    </w:rPr>
  </w:style>
  <w:style w:type="character" w:customStyle="1" w:styleId="48">
    <w:name w:val="日期 字符"/>
    <w:basedOn w:val="24"/>
    <w:link w:val="14"/>
    <w:qFormat/>
    <w:uiPriority w:val="0"/>
    <w:rPr>
      <w:rFonts w:ascii="Times New Roman" w:hAnsi="Times New Roman" w:eastAsia="黑体" w:cs="Times New Roman"/>
      <w:kern w:val="0"/>
      <w:sz w:val="32"/>
      <w14:ligatures w14:val="none"/>
    </w:rPr>
  </w:style>
  <w:style w:type="character" w:customStyle="1" w:styleId="49">
    <w:name w:val="默认段落字体1"/>
    <w:semiHidden/>
    <w:qFormat/>
    <w:uiPriority w:val="0"/>
  </w:style>
  <w:style w:type="paragraph" w:customStyle="1" w:styleId="50">
    <w:name w:val="Body text|1"/>
    <w:basedOn w:val="1"/>
    <w:qFormat/>
    <w:uiPriority w:val="0"/>
    <w:pPr>
      <w:spacing w:after="270" w:line="590" w:lineRule="exact"/>
      <w:ind w:left="190" w:firstLine="650"/>
    </w:pPr>
    <w:rPr>
      <w:rFonts w:ascii="宋体" w:hAnsi="宋体"/>
      <w:lang w:val="zh-TW" w:eastAsia="zh-TW" w:bidi="zh-TW"/>
    </w:rPr>
  </w:style>
  <w:style w:type="character" w:customStyle="1" w:styleId="51">
    <w:name w:val="font11"/>
    <w:basedOn w:val="24"/>
    <w:qFormat/>
    <w:uiPriority w:val="0"/>
    <w:rPr>
      <w:rFonts w:hint="eastAsia" w:ascii="宋体" w:hAnsi="宋体" w:eastAsia="宋体" w:cs="宋体"/>
      <w:color w:val="000000"/>
      <w:sz w:val="21"/>
      <w:szCs w:val="21"/>
      <w:u w:val="none"/>
    </w:rPr>
  </w:style>
  <w:style w:type="paragraph" w:customStyle="1" w:styleId="52">
    <w:name w:val="列表段落1"/>
    <w:basedOn w:val="1"/>
    <w:qFormat/>
    <w:uiPriority w:val="99"/>
    <w:pPr>
      <w:ind w:firstLine="420" w:firstLineChars="200"/>
    </w:pPr>
    <w:rPr>
      <w:rFonts w:asciiTheme="minorHAnsi" w:hAnsiTheme="minorHAnsi" w:eastAsiaTheme="minorEastAsia" w:cstheme="minorBidi"/>
    </w:rPr>
  </w:style>
  <w:style w:type="paragraph" w:customStyle="1" w:styleId="53">
    <w:name w:val="正文（文本）"/>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15179</Words>
  <Characters>16052</Characters>
  <Lines>87</Lines>
  <Paragraphs>24</Paragraphs>
  <TotalTime>3</TotalTime>
  <ScaleCrop>false</ScaleCrop>
  <LinksUpToDate>false</LinksUpToDate>
  <CharactersWithSpaces>17507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2025-11-12T06:09:02Z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7D33165417BA45859F7B09E22696C213_12</vt:lpwstr>
  </property>
  <property fmtid="{D5CDD505-2E9C-101B-9397-08002B2CF9AE}" pid="4" name="KSOTemplateDocerSaveRecord">
    <vt:lpwstr>eyJoZGlkIjoiNmUxYzRjMmE0NzkyMzQzMTk4OTkzZTZiNmMwNWQ3ZDAiLCJ1c2VySWQiOiIxNjExNjg4MDYzIn0=</vt:lpwstr>
  </property>
</Properties>
</file>