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7620" b="762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602BE37D">
      <w:pPr>
        <w:rPr>
          <w:rFonts w:hint="eastAsia" w:ascii="华文中宋" w:hAnsi="华文中宋" w:eastAsia="华文中宋"/>
          <w:bCs/>
          <w:color w:val="0D0D0D"/>
          <w:sz w:val="30"/>
        </w:rPr>
      </w:pPr>
    </w:p>
    <w:p w14:paraId="0EC30F79">
      <w:pPr>
        <w:rPr>
          <w:rFonts w:hint="eastAsia" w:ascii="华文中宋" w:hAnsi="华文中宋" w:eastAsia="华文中宋"/>
          <w:bCs/>
          <w:color w:val="0D0D0D"/>
          <w:sz w:val="30"/>
        </w:rPr>
      </w:pPr>
    </w:p>
    <w:p w14:paraId="6C355F5C">
      <w:pPr>
        <w:spacing w:line="300" w:lineRule="auto"/>
        <w:rPr>
          <w:rFonts w:hint="eastAsia" w:ascii="宋体" w:hAnsi="宋体"/>
          <w:color w:val="000000"/>
          <w:sz w:val="28"/>
          <w:szCs w:val="28"/>
        </w:rPr>
      </w:pPr>
      <w:r>
        <w:rPr>
          <w:rFonts w:hint="eastAsia" w:ascii="宋体" w:hAnsi="宋体"/>
          <w:color w:val="000000"/>
          <w:sz w:val="28"/>
          <w:szCs w:val="28"/>
        </w:rPr>
        <w:t>项目名称：2023-2024学年耗材采购（物联网学院） </w:t>
      </w:r>
    </w:p>
    <w:p w14:paraId="5698346C">
      <w:pPr>
        <w:spacing w:line="300" w:lineRule="auto"/>
        <w:rPr>
          <w:rFonts w:hint="eastAsia" w:ascii="宋体" w:hAnsi="宋体"/>
          <w:color w:val="000000"/>
          <w:sz w:val="28"/>
          <w:szCs w:val="28"/>
        </w:rPr>
      </w:pPr>
      <w:r>
        <w:rPr>
          <w:rFonts w:hint="eastAsia" w:ascii="宋体" w:hAnsi="宋体"/>
          <w:color w:val="000000"/>
          <w:sz w:val="28"/>
          <w:szCs w:val="28"/>
        </w:rPr>
        <w:t>项目编号：JSITHW2024102202</w:t>
      </w:r>
    </w:p>
    <w:p w14:paraId="281FF192">
      <w:pPr>
        <w:rPr>
          <w:rFonts w:hint="eastAsia" w:ascii="华文中宋" w:hAnsi="华文中宋" w:eastAsia="华文中宋"/>
          <w:bCs/>
          <w:color w:val="000000"/>
          <w:sz w:val="30"/>
          <w:szCs w:val="30"/>
        </w:rPr>
      </w:pPr>
    </w:p>
    <w:p w14:paraId="6C833BD0">
      <w:pPr>
        <w:rPr>
          <w:rFonts w:hint="eastAsia" w:ascii="华文中宋" w:hAnsi="华文中宋" w:eastAsia="华文中宋"/>
          <w:bCs/>
          <w:color w:val="000000"/>
          <w:sz w:val="32"/>
        </w:rPr>
      </w:pPr>
    </w:p>
    <w:p w14:paraId="019A893C">
      <w:pPr>
        <w:rPr>
          <w:rFonts w:hint="eastAsia" w:ascii="华文中宋" w:hAnsi="华文中宋" w:eastAsia="华文中宋"/>
          <w:bCs/>
          <w:color w:val="000000"/>
          <w:sz w:val="32"/>
        </w:rPr>
      </w:pPr>
    </w:p>
    <w:p w14:paraId="208F8137">
      <w:pPr>
        <w:rPr>
          <w:rFonts w:hint="eastAsia" w:ascii="华文中宋" w:hAnsi="华文中宋" w:eastAsia="华文中宋"/>
          <w:bCs/>
          <w:color w:val="000000"/>
          <w:sz w:val="32"/>
        </w:rPr>
      </w:pPr>
    </w:p>
    <w:p w14:paraId="3C5CDA39">
      <w:pPr>
        <w:rPr>
          <w:rFonts w:hint="eastAsia" w:ascii="华文中宋" w:hAnsi="华文中宋" w:eastAsia="华文中宋"/>
          <w:bCs/>
          <w:color w:val="000000"/>
          <w:sz w:val="32"/>
        </w:rPr>
      </w:pPr>
    </w:p>
    <w:p w14:paraId="512C875F">
      <w:pPr>
        <w:rPr>
          <w:rFonts w:hint="eastAsia" w:ascii="华文中宋" w:hAnsi="华文中宋" w:eastAsia="华文中宋"/>
          <w:bCs/>
          <w:color w:val="000000"/>
          <w:sz w:val="32"/>
        </w:rPr>
      </w:pPr>
    </w:p>
    <w:p w14:paraId="345234C2">
      <w:pPr>
        <w:rPr>
          <w:rFonts w:hint="eastAsia" w:ascii="华文中宋" w:hAnsi="华文中宋" w:eastAsia="华文中宋"/>
          <w:bCs/>
          <w:color w:val="000000"/>
          <w:sz w:val="32"/>
        </w:rPr>
      </w:pPr>
    </w:p>
    <w:p w14:paraId="50BEC9DF">
      <w:pPr>
        <w:rPr>
          <w:rFonts w:hint="eastAsia" w:ascii="华文中宋" w:hAnsi="华文中宋" w:eastAsia="华文中宋"/>
          <w:bCs/>
          <w:color w:val="000000"/>
          <w:sz w:val="32"/>
        </w:rPr>
      </w:pPr>
    </w:p>
    <w:p w14:paraId="42535038">
      <w:pPr>
        <w:jc w:val="left"/>
        <w:rPr>
          <w:rFonts w:hint="eastAsia" w:ascii="华文中宋" w:hAnsi="华文中宋" w:eastAsia="华文中宋"/>
          <w:bCs/>
          <w:color w:val="000000"/>
          <w:sz w:val="32"/>
        </w:rPr>
      </w:pPr>
    </w:p>
    <w:p w14:paraId="113956E1">
      <w:pPr>
        <w:jc w:val="center"/>
        <w:rPr>
          <w:rFonts w:hint="eastAsia" w:ascii="宋体" w:hAnsi="宋体"/>
          <w:color w:val="000000"/>
          <w:sz w:val="32"/>
        </w:rPr>
      </w:pPr>
      <w:r>
        <w:rPr>
          <w:rFonts w:hint="eastAsia" w:ascii="宋体" w:hAnsi="宋体"/>
          <w:color w:val="000000"/>
          <w:sz w:val="32"/>
        </w:rPr>
        <w:t>江苏信息职业技术学院招投标中心</w:t>
      </w:r>
    </w:p>
    <w:p w14:paraId="5FC6A3BE">
      <w:pPr>
        <w:pStyle w:val="16"/>
        <w:ind w:leftChars="0"/>
        <w:rPr>
          <w:rFonts w:hint="eastAsia" w:ascii="宋体" w:hAnsi="宋体" w:eastAsia="宋体"/>
          <w:color w:val="000000"/>
        </w:rPr>
      </w:pPr>
      <w:r>
        <w:rPr>
          <w:rFonts w:hint="eastAsia" w:ascii="宋体" w:hAnsi="宋体" w:eastAsia="宋体"/>
          <w:color w:val="000000"/>
        </w:rPr>
        <w:t>2024年</w:t>
      </w:r>
      <w:r>
        <w:rPr>
          <w:rFonts w:hint="eastAsia" w:ascii="宋体" w:hAnsi="宋体" w:eastAsia="宋体"/>
          <w:color w:val="000000"/>
          <w:lang w:val="en-US" w:eastAsia="zh-CN"/>
        </w:rPr>
        <w:t>10</w:t>
      </w:r>
      <w:r>
        <w:rPr>
          <w:rFonts w:hint="eastAsia" w:ascii="宋体" w:hAnsi="宋体" w:eastAsia="宋体"/>
          <w:color w:val="000000"/>
        </w:rPr>
        <w:t>月</w:t>
      </w:r>
      <w:r>
        <w:rPr>
          <w:rFonts w:hint="eastAsia" w:ascii="宋体" w:hAnsi="宋体" w:eastAsia="宋体"/>
          <w:color w:val="000000"/>
          <w:lang w:val="en-US" w:eastAsia="zh-CN"/>
        </w:rPr>
        <w:t>22</w:t>
      </w:r>
      <w:r>
        <w:rPr>
          <w:rFonts w:hint="eastAsia" w:ascii="宋体" w:hAnsi="宋体" w:eastAsia="宋体"/>
          <w:color w:val="000000"/>
        </w:rPr>
        <w:t>日</w:t>
      </w:r>
    </w:p>
    <w:p w14:paraId="62849E17">
      <w:pPr>
        <w:ind w:firstLine="3780" w:firstLineChars="1800"/>
        <w:rPr>
          <w:rStyle w:val="25"/>
          <w:rFonts w:eastAsia="黑体"/>
          <w:bCs/>
          <w:color w:val="000000"/>
          <w:sz w:val="48"/>
        </w:rPr>
      </w:pPr>
      <w:r>
        <w:rPr>
          <w:color w:val="000000"/>
        </w:rPr>
        <w:br w:type="page"/>
      </w:r>
      <w:r>
        <w:rPr>
          <w:rStyle w:val="25"/>
          <w:rFonts w:hint="eastAsia" w:eastAsia="黑体"/>
          <w:bCs/>
          <w:color w:val="000000"/>
          <w:sz w:val="48"/>
        </w:rPr>
        <w:t>目     录</w:t>
      </w:r>
    </w:p>
    <w:p w14:paraId="14B1D20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hint="eastAsia" w:ascii="宋体" w:hAnsi="宋体"/>
          <w:color w:val="000000"/>
          <w:spacing w:val="4"/>
          <w:sz w:val="24"/>
        </w:rPr>
      </w:pPr>
    </w:p>
    <w:p w14:paraId="1A874DD4">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江苏信息职业技术学院招投标中心受学校委托，就学校采购2023-2024学年耗材采购（物联网学院）项目进行公开招标，现欢迎符合相关条件的供应商参加投标。</w:t>
      </w:r>
    </w:p>
    <w:p w14:paraId="53C185F2">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23C7D24">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名称：2023-2024学年耗材采购（物联网学院） </w:t>
      </w:r>
    </w:p>
    <w:p w14:paraId="25999AF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编号：JSITHW2024102202</w:t>
      </w:r>
    </w:p>
    <w:p w14:paraId="10DA6A6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4D7BE81C">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6</w:t>
      </w:r>
      <w:r>
        <w:rPr>
          <w:rFonts w:hint="eastAsia" w:ascii="宋体" w:hAnsi="宋体"/>
          <w:b/>
          <w:color w:val="000000"/>
          <w:spacing w:val="4"/>
          <w:sz w:val="24"/>
        </w:rPr>
        <w:t>万元</w:t>
      </w:r>
    </w:p>
    <w:p w14:paraId="258467B8">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9449CFD">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8475C32">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6"/>
          <w:sz w:val="24"/>
        </w:rPr>
        <w:t>www.creditchina.gov.cn</w:t>
      </w:r>
      <w:r>
        <w:rPr>
          <w:rStyle w:val="26"/>
          <w:sz w:val="24"/>
        </w:rPr>
        <w:fldChar w:fldCharType="end"/>
      </w:r>
      <w:r>
        <w:rPr>
          <w:rFonts w:hint="eastAsia"/>
          <w:sz w:val="24"/>
        </w:rPr>
        <w:t>）列入失信执行人、重大税收违法案件当事人名单、政府采购严重违法失信行为。</w:t>
      </w:r>
      <w:bookmarkEnd w:id="8"/>
    </w:p>
    <w:p w14:paraId="04A8AC2E">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55E21529">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请务必于2024年</w:t>
      </w:r>
      <w:r>
        <w:rPr>
          <w:rFonts w:hint="eastAsia"/>
          <w:color w:val="000000"/>
          <w:sz w:val="24"/>
          <w:lang w:val="en-US" w:eastAsia="zh-CN"/>
        </w:rPr>
        <w:t>10</w:t>
      </w:r>
      <w:r>
        <w:rPr>
          <w:rFonts w:hint="eastAsia"/>
          <w:color w:val="000000"/>
          <w:sz w:val="24"/>
        </w:rPr>
        <w:t>月</w:t>
      </w:r>
      <w:r>
        <w:rPr>
          <w:rFonts w:hint="eastAsia"/>
          <w:color w:val="000000"/>
          <w:sz w:val="24"/>
          <w:lang w:val="en-US" w:eastAsia="zh-CN"/>
        </w:rPr>
        <w:t>31</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投标文件开始时间：2024年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11</w:t>
      </w:r>
      <w:r>
        <w:rPr>
          <w:rFonts w:hint="eastAsia" w:ascii="宋体" w:hAnsi="宋体"/>
          <w:color w:val="000000"/>
          <w:spacing w:val="4"/>
          <w:sz w:val="24"/>
        </w:rPr>
        <w:t>日09时00分</w:t>
      </w:r>
    </w:p>
    <w:p w14:paraId="7C4D4B39">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3．投标文件截止时间：2024年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11</w:t>
      </w:r>
      <w:r>
        <w:rPr>
          <w:rFonts w:hint="eastAsia" w:ascii="宋体" w:hAnsi="宋体"/>
          <w:color w:val="000000"/>
          <w:spacing w:val="4"/>
          <w:sz w:val="24"/>
        </w:rPr>
        <w:t>日09时30分</w:t>
      </w:r>
    </w:p>
    <w:p w14:paraId="3C4BC2F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2024年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11</w:t>
      </w:r>
      <w:r>
        <w:rPr>
          <w:rFonts w:hint="eastAsia" w:ascii="宋体" w:hAnsi="宋体"/>
          <w:color w:val="000000"/>
          <w:spacing w:val="4"/>
          <w:sz w:val="24"/>
        </w:rPr>
        <w:t>日09时30分</w:t>
      </w:r>
    </w:p>
    <w:p w14:paraId="3A44E61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18C6E5E5">
      <w:pPr>
        <w:spacing w:line="360" w:lineRule="auto"/>
        <w:ind w:firstLine="969" w:firstLineChars="391"/>
        <w:rPr>
          <w:color w:val="000000"/>
          <w:spacing w:val="4"/>
          <w:sz w:val="24"/>
        </w:rPr>
      </w:pPr>
      <w:r>
        <w:rPr>
          <w:rFonts w:hint="eastAsia"/>
          <w:color w:val="000000"/>
          <w:spacing w:val="4"/>
          <w:sz w:val="24"/>
        </w:rPr>
        <w:t>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2024年</w:t>
      </w:r>
      <w:r>
        <w:rPr>
          <w:rFonts w:hint="eastAsia"/>
          <w:color w:val="000000"/>
          <w:spacing w:val="4"/>
          <w:sz w:val="24"/>
          <w:lang w:val="en-US" w:eastAsia="zh-CN"/>
        </w:rPr>
        <w:t>10</w:t>
      </w:r>
      <w:r>
        <w:rPr>
          <w:rFonts w:hint="eastAsia"/>
          <w:color w:val="000000"/>
          <w:spacing w:val="4"/>
          <w:sz w:val="24"/>
        </w:rPr>
        <w:t>月</w:t>
      </w:r>
      <w:r>
        <w:rPr>
          <w:rFonts w:hint="eastAsia"/>
          <w:color w:val="000000"/>
          <w:spacing w:val="4"/>
          <w:sz w:val="24"/>
          <w:lang w:val="en-US" w:eastAsia="zh-CN"/>
        </w:rPr>
        <w:t>24</w:t>
      </w:r>
      <w:r>
        <w:rPr>
          <w:rFonts w:hint="eastAsia"/>
          <w:color w:val="000000"/>
          <w:spacing w:val="4"/>
          <w:sz w:val="24"/>
        </w:rPr>
        <w:t>日</w:t>
      </w:r>
    </w:p>
    <w:p w14:paraId="7CE1F482">
      <w:pPr>
        <w:spacing w:line="300" w:lineRule="auto"/>
        <w:ind w:firstLine="1837" w:firstLineChars="741"/>
        <w:rPr>
          <w:rFonts w:hint="eastAsia" w:ascii="宋体" w:hAnsi="宋体"/>
          <w:b/>
          <w:color w:val="000000"/>
          <w:sz w:val="44"/>
          <w:szCs w:val="44"/>
        </w:rPr>
      </w:pPr>
      <w:bookmarkStart w:id="9" w:name="_GoBack"/>
      <w:bookmarkEnd w:id="9"/>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rFonts w:hint="eastAsia"/>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6069E0E0">
      <w:pPr>
        <w:spacing w:line="360" w:lineRule="auto"/>
        <w:ind w:firstLine="480" w:firstLineChars="200"/>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eastAsia="zh-CN"/>
        </w:rPr>
        <w:t>（</w:t>
      </w:r>
      <w:r>
        <w:rPr>
          <w:rFonts w:hint="eastAsia" w:ascii="Times New Roman" w:hAnsi="Times New Roman" w:eastAsia="宋体" w:cs="Times New Roman"/>
          <w:color w:val="000000"/>
          <w:sz w:val="24"/>
          <w:lang w:val="en-US" w:eastAsia="zh-CN"/>
        </w:rPr>
        <w:t>8</w:t>
      </w:r>
      <w:r>
        <w:rPr>
          <w:rFonts w:hint="eastAsia" w:ascii="Times New Roman" w:hAnsi="Times New Roman" w:eastAsia="宋体" w:cs="Times New Roman"/>
          <w:color w:val="000000"/>
          <w:sz w:val="24"/>
          <w:lang w:eastAsia="zh-CN"/>
        </w:rPr>
        <w:t>）</w:t>
      </w:r>
      <w:r>
        <w:rPr>
          <w:rFonts w:hint="eastAsia" w:ascii="Times New Roman" w:hAnsi="Times New Roman" w:eastAsia="宋体" w:cs="Times New Roman"/>
          <w:color w:val="000000"/>
          <w:sz w:val="24"/>
        </w:rPr>
        <w:t>技术规格响应/偏离表（格式见附件</w:t>
      </w:r>
      <w:r>
        <w:rPr>
          <w:rFonts w:hint="eastAsia" w:ascii="Times New Roman" w:hAnsi="Times New Roman" w:eastAsia="宋体" w:cs="Times New Roman"/>
          <w:color w:val="000000"/>
          <w:sz w:val="24"/>
          <w:lang w:val="en-US" w:eastAsia="zh-CN"/>
        </w:rPr>
        <w:t>7</w:t>
      </w:r>
      <w:r>
        <w:rPr>
          <w:rFonts w:hint="eastAsia" w:ascii="Times New Roman" w:hAnsi="Times New Roman" w:eastAsia="宋体" w:cs="Times New Roman"/>
          <w:color w:val="000000"/>
          <w:sz w:val="24"/>
        </w:rPr>
        <w:t>）</w:t>
      </w:r>
    </w:p>
    <w:p w14:paraId="5C50264D">
      <w:pPr>
        <w:spacing w:line="360" w:lineRule="auto"/>
        <w:ind w:firstLine="480" w:firstLineChars="200"/>
        <w:rPr>
          <w:b/>
          <w:color w:val="000000"/>
          <w:sz w:val="24"/>
        </w:rPr>
      </w:pPr>
      <w:r>
        <w:rPr>
          <w:rFonts w:hint="eastAsia"/>
          <w:color w:val="000000"/>
          <w:sz w:val="24"/>
        </w:rPr>
        <w:t>（</w:t>
      </w:r>
      <w:r>
        <w:rPr>
          <w:rFonts w:hint="eastAsia"/>
          <w:color w:val="000000"/>
          <w:sz w:val="24"/>
          <w:lang w:val="en-US" w:eastAsia="zh-CN"/>
        </w:rPr>
        <w:t>9</w:t>
      </w:r>
      <w:r>
        <w:rPr>
          <w:rFonts w:hint="eastAsia"/>
          <w:color w:val="000000"/>
          <w:sz w:val="24"/>
        </w:rPr>
        <w:t>）投标人认为需要陈述的其他内容（格式自拟）</w:t>
      </w:r>
    </w:p>
    <w:p w14:paraId="09DA3FA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hint="eastAsia"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6C42BE1">
      <w:pPr>
        <w:spacing w:line="324" w:lineRule="auto"/>
        <w:rPr>
          <w:b/>
          <w:color w:val="000000"/>
          <w:sz w:val="24"/>
        </w:rPr>
      </w:pPr>
      <w:r>
        <w:rPr>
          <w:rFonts w:hint="eastAsia"/>
          <w:b/>
          <w:color w:val="000000"/>
          <w:sz w:val="24"/>
        </w:rPr>
        <w:t>五、评标方法及评分标准</w:t>
      </w:r>
    </w:p>
    <w:p w14:paraId="2ED412FB">
      <w:pPr>
        <w:spacing w:line="324" w:lineRule="auto"/>
        <w:ind w:firstLine="472" w:firstLineChars="196"/>
        <w:rPr>
          <w:sz w:val="24"/>
        </w:rPr>
      </w:pPr>
      <w:r>
        <w:rPr>
          <w:b/>
          <w:sz w:val="24"/>
        </w:rPr>
        <w:t>5.1.</w:t>
      </w:r>
      <w:r>
        <w:rPr>
          <w:rFonts w:hint="eastAsia"/>
          <w:sz w:val="24"/>
        </w:rPr>
        <w:t>评标方法</w:t>
      </w:r>
    </w:p>
    <w:p w14:paraId="18E90286">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3E129244">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9820E65">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22"/>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59260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6F34C6">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6E4861F9">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69E389B0">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4302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29D5F1B">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0A5640F0">
            <w:pPr>
              <w:widowControl/>
              <w:spacing w:line="400" w:lineRule="exact"/>
              <w:jc w:val="center"/>
              <w:rPr>
                <w:rFonts w:hint="eastAsia" w:ascii="宋体" w:hAnsi="宋体"/>
                <w:color w:val="000000"/>
                <w:sz w:val="24"/>
              </w:rPr>
            </w:pPr>
            <w:r>
              <w:rPr>
                <w:rFonts w:hint="eastAsia" w:ascii="宋体" w:hAnsi="宋体"/>
                <w:color w:val="000000"/>
                <w:sz w:val="24"/>
              </w:rPr>
              <w:t>投标价格（50分）</w:t>
            </w:r>
          </w:p>
        </w:tc>
        <w:tc>
          <w:tcPr>
            <w:tcW w:w="6664" w:type="dxa"/>
            <w:vAlign w:val="center"/>
          </w:tcPr>
          <w:p w14:paraId="2A05FE85">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满足招标文件要求且报价最低的供应商的价格为评标基准价，其价格分为满分。其他供应商的价格分统一按照下列公式计算：报价得分=（评标基准价/投标报价）×50。</w:t>
            </w:r>
          </w:p>
        </w:tc>
      </w:tr>
      <w:tr w14:paraId="0A9C9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739A6B1">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2</w:t>
            </w:r>
          </w:p>
        </w:tc>
        <w:tc>
          <w:tcPr>
            <w:tcW w:w="2419" w:type="dxa"/>
            <w:noWrap/>
            <w:vAlign w:val="center"/>
          </w:tcPr>
          <w:p w14:paraId="6DB976D5">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技术参数响应度</w:t>
            </w:r>
            <w:r>
              <w:rPr>
                <w:rFonts w:hint="eastAsia" w:ascii="宋体" w:hAnsi="宋体"/>
                <w:color w:val="000000"/>
                <w:sz w:val="24"/>
                <w:lang w:val="en-US" w:eastAsia="zh-CN"/>
              </w:rPr>
              <w:br w:type="textWrapping"/>
            </w:r>
            <w:r>
              <w:rPr>
                <w:rFonts w:hint="eastAsia" w:ascii="宋体" w:hAnsi="宋体"/>
                <w:color w:val="000000"/>
                <w:sz w:val="24"/>
                <w:lang w:val="en-US" w:eastAsia="zh-CN"/>
              </w:rPr>
              <w:t>（20分）</w:t>
            </w:r>
          </w:p>
        </w:tc>
        <w:tc>
          <w:tcPr>
            <w:tcW w:w="6664" w:type="dxa"/>
            <w:vAlign w:val="center"/>
          </w:tcPr>
          <w:p w14:paraId="52BED9A8">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针对招标文件详细技术参数及配置要求”的响应情况进行打分，满足全部条款得满分16分。“★”号条款为重要条款，每有一项负偏离扣2分；其余非“★”号条款为普通条款，每有一项条款负偏离扣1分，扣完为止。</w:t>
            </w:r>
          </w:p>
          <w:p w14:paraId="00E96C40">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根据投标文件中列出详细的</w:t>
            </w:r>
            <w:r>
              <w:rPr>
                <w:rFonts w:hint="eastAsia" w:ascii="宋体" w:hAnsi="宋体"/>
                <w:color w:val="000000"/>
                <w:sz w:val="24"/>
                <w:lang w:val="en-US" w:eastAsia="zh-CN"/>
              </w:rPr>
              <w:t>实验课程及实验实训项目等</w:t>
            </w:r>
            <w:r>
              <w:rPr>
                <w:rFonts w:hint="eastAsia" w:ascii="宋体" w:hAnsi="宋体"/>
                <w:color w:val="000000"/>
                <w:sz w:val="24"/>
              </w:rPr>
              <w:t>方案进行打分，方案中需有明确的</w:t>
            </w:r>
            <w:r>
              <w:rPr>
                <w:rFonts w:hint="eastAsia" w:ascii="宋体" w:hAnsi="宋体"/>
                <w:color w:val="000000"/>
                <w:sz w:val="24"/>
                <w:lang w:val="en-US" w:eastAsia="zh-CN"/>
              </w:rPr>
              <w:t>课程名称、实验类别、实验实训项目名称、实验课时</w:t>
            </w:r>
            <w:r>
              <w:rPr>
                <w:rFonts w:hint="eastAsia" w:ascii="宋体" w:hAnsi="宋体"/>
                <w:color w:val="000000"/>
                <w:sz w:val="24"/>
              </w:rPr>
              <w:t>等。</w:t>
            </w:r>
            <w:r>
              <w:rPr>
                <w:rFonts w:hint="eastAsia" w:ascii="宋体" w:hAnsi="宋体"/>
                <w:color w:val="000000"/>
                <w:sz w:val="24"/>
                <w:lang w:val="en-US" w:eastAsia="zh-CN"/>
              </w:rPr>
              <w:t>实验课程设置完全符合人才培养方案、实验实训项目丰富、课时分配合理</w:t>
            </w:r>
            <w:r>
              <w:rPr>
                <w:rFonts w:hint="eastAsia" w:ascii="宋体" w:hAnsi="宋体"/>
                <w:color w:val="000000"/>
                <w:sz w:val="24"/>
              </w:rPr>
              <w:t>得</w:t>
            </w:r>
            <w:r>
              <w:rPr>
                <w:rFonts w:hint="eastAsia" w:ascii="宋体" w:hAnsi="宋体"/>
                <w:color w:val="000000"/>
                <w:sz w:val="24"/>
                <w:lang w:val="en-US" w:eastAsia="zh-CN"/>
              </w:rPr>
              <w:t>4</w:t>
            </w:r>
            <w:r>
              <w:rPr>
                <w:rFonts w:hint="eastAsia" w:ascii="宋体" w:hAnsi="宋体"/>
                <w:color w:val="000000"/>
                <w:sz w:val="24"/>
              </w:rPr>
              <w:t>分，</w:t>
            </w:r>
            <w:r>
              <w:rPr>
                <w:rFonts w:hint="eastAsia" w:ascii="宋体" w:hAnsi="宋体"/>
                <w:color w:val="000000"/>
                <w:sz w:val="24"/>
                <w:lang w:val="en-US" w:eastAsia="zh-CN"/>
              </w:rPr>
              <w:t>实验课程设置基本符合人才培养方案、实验实训项目基本齐全、课时分配基本合理</w:t>
            </w:r>
            <w:r>
              <w:rPr>
                <w:rFonts w:hint="eastAsia" w:ascii="宋体" w:hAnsi="宋体"/>
                <w:color w:val="000000"/>
                <w:sz w:val="24"/>
              </w:rPr>
              <w:t>得</w:t>
            </w:r>
            <w:r>
              <w:rPr>
                <w:rFonts w:hint="eastAsia" w:ascii="宋体" w:hAnsi="宋体"/>
                <w:color w:val="000000"/>
                <w:sz w:val="24"/>
                <w:lang w:val="en-US" w:eastAsia="zh-CN"/>
              </w:rPr>
              <w:t>2</w:t>
            </w:r>
            <w:r>
              <w:rPr>
                <w:rFonts w:hint="eastAsia" w:ascii="宋体" w:hAnsi="宋体"/>
                <w:color w:val="000000"/>
                <w:sz w:val="24"/>
              </w:rPr>
              <w:t>分，</w:t>
            </w:r>
            <w:r>
              <w:rPr>
                <w:rFonts w:hint="eastAsia" w:ascii="宋体" w:hAnsi="宋体"/>
                <w:color w:val="000000"/>
                <w:sz w:val="24"/>
                <w:lang w:val="en-US" w:eastAsia="zh-CN"/>
              </w:rPr>
              <w:t>实验课程设置不符合人才培养方案、实验实训项目不齐全、课时分配不合理得1</w:t>
            </w:r>
            <w:r>
              <w:rPr>
                <w:rFonts w:hint="eastAsia" w:ascii="宋体" w:hAnsi="宋体"/>
                <w:color w:val="000000"/>
                <w:sz w:val="24"/>
              </w:rPr>
              <w:t>分。</w:t>
            </w:r>
            <w:r>
              <w:rPr>
                <w:rFonts w:hint="eastAsia" w:ascii="宋体" w:hAnsi="宋体"/>
                <w:color w:val="000000"/>
                <w:sz w:val="24"/>
                <w:lang w:val="en-US" w:eastAsia="zh-CN"/>
              </w:rPr>
              <w:t>不提供实验实训方案得0分。</w:t>
            </w:r>
          </w:p>
        </w:tc>
      </w:tr>
      <w:tr w14:paraId="51E6B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579F546">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3</w:t>
            </w:r>
          </w:p>
        </w:tc>
        <w:tc>
          <w:tcPr>
            <w:tcW w:w="2419" w:type="dxa"/>
            <w:noWrap/>
            <w:vAlign w:val="center"/>
          </w:tcPr>
          <w:p w14:paraId="2DA4D309">
            <w:pPr>
              <w:widowControl/>
              <w:spacing w:line="400" w:lineRule="exact"/>
              <w:jc w:val="center"/>
              <w:rPr>
                <w:rFonts w:hint="eastAsia" w:ascii="宋体" w:hAnsi="宋体"/>
                <w:color w:val="000000"/>
                <w:sz w:val="24"/>
                <w:lang w:val="en-US" w:eastAsia="zh-CN"/>
              </w:rPr>
            </w:pPr>
            <w:r>
              <w:rPr>
                <w:rFonts w:hint="eastAsia" w:ascii="宋体" w:hAnsi="宋体"/>
                <w:color w:val="000000"/>
                <w:sz w:val="24"/>
                <w:lang w:val="en-US" w:eastAsia="zh-CN"/>
              </w:rPr>
              <w:t>项目技术实施方案（3分）</w:t>
            </w:r>
          </w:p>
        </w:tc>
        <w:tc>
          <w:tcPr>
            <w:tcW w:w="6664" w:type="dxa"/>
            <w:vAlign w:val="center"/>
          </w:tcPr>
          <w:p w14:paraId="70A2EB06">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提供有完善、详细的系统架构组建方案、后期运营方案以及系统设备功能扩展应用方案，且人员配备、分工、实施准备、进度安排、质量控制、检测及验收、项目移交等方面描述较为详细、具体，较为可行。优得3分，良得2分，一般得1分。</w:t>
            </w:r>
          </w:p>
        </w:tc>
      </w:tr>
      <w:tr w14:paraId="1757B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atLeast"/>
          <w:jc w:val="center"/>
        </w:trPr>
        <w:tc>
          <w:tcPr>
            <w:tcW w:w="695" w:type="dxa"/>
            <w:vMerge w:val="restart"/>
            <w:noWrap/>
            <w:vAlign w:val="center"/>
          </w:tcPr>
          <w:p w14:paraId="0F23131B">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4</w:t>
            </w:r>
          </w:p>
        </w:tc>
        <w:tc>
          <w:tcPr>
            <w:tcW w:w="2419" w:type="dxa"/>
            <w:vMerge w:val="restart"/>
            <w:noWrap/>
            <w:vAlign w:val="center"/>
          </w:tcPr>
          <w:p w14:paraId="35948CA6">
            <w:pPr>
              <w:widowControl/>
              <w:spacing w:line="400" w:lineRule="exact"/>
              <w:jc w:val="center"/>
              <w:rPr>
                <w:rFonts w:hint="eastAsia" w:ascii="宋体" w:hAnsi="宋体"/>
                <w:color w:val="000000"/>
                <w:sz w:val="24"/>
                <w:lang w:val="en-US" w:eastAsia="zh-CN"/>
              </w:rPr>
            </w:pPr>
            <w:r>
              <w:rPr>
                <w:rFonts w:hint="eastAsia" w:ascii="宋体" w:hAnsi="宋体"/>
                <w:color w:val="000000"/>
                <w:sz w:val="24"/>
                <w:lang w:val="en-US" w:eastAsia="zh-CN"/>
              </w:rPr>
              <w:t>系统演示（9分）</w:t>
            </w:r>
          </w:p>
        </w:tc>
        <w:tc>
          <w:tcPr>
            <w:tcW w:w="6664" w:type="dxa"/>
            <w:vAlign w:val="center"/>
          </w:tcPr>
          <w:p w14:paraId="55F26700">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现场演示搭载鸿蒙系统后，MIPI LCD显示屏显示功能，可以展示鸿蒙系统的图形界面和交互效果，在显示界面上，用户可以通过触摸操作进行滑动、点击等交互，体验鸿蒙系统的流畅性和响应速度。功能演示完整得3分，部分演示得1分，演示功能不能实现或不演示不得分；</w:t>
            </w:r>
          </w:p>
        </w:tc>
      </w:tr>
      <w:tr w14:paraId="7492B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atLeast"/>
          <w:jc w:val="center"/>
        </w:trPr>
        <w:tc>
          <w:tcPr>
            <w:tcW w:w="695" w:type="dxa"/>
            <w:vMerge w:val="continue"/>
            <w:noWrap/>
            <w:vAlign w:val="center"/>
          </w:tcPr>
          <w:p w14:paraId="08AB7FB4">
            <w:pPr>
              <w:widowControl/>
              <w:spacing w:line="400" w:lineRule="exact"/>
              <w:jc w:val="center"/>
              <w:rPr>
                <w:rFonts w:hint="eastAsia" w:ascii="宋体" w:hAnsi="宋体"/>
                <w:color w:val="000000"/>
                <w:sz w:val="24"/>
                <w:lang w:val="en-US" w:eastAsia="zh-CN"/>
              </w:rPr>
            </w:pPr>
          </w:p>
        </w:tc>
        <w:tc>
          <w:tcPr>
            <w:tcW w:w="2419" w:type="dxa"/>
            <w:vMerge w:val="continue"/>
            <w:noWrap/>
            <w:vAlign w:val="center"/>
          </w:tcPr>
          <w:p w14:paraId="6F3F86A4">
            <w:pPr>
              <w:widowControl/>
              <w:spacing w:line="400" w:lineRule="exact"/>
              <w:jc w:val="center"/>
              <w:rPr>
                <w:rFonts w:hint="eastAsia" w:ascii="宋体" w:hAnsi="宋体"/>
                <w:color w:val="000000"/>
                <w:sz w:val="24"/>
                <w:lang w:val="en-US" w:eastAsia="zh-CN"/>
              </w:rPr>
            </w:pPr>
          </w:p>
        </w:tc>
        <w:tc>
          <w:tcPr>
            <w:tcW w:w="6664" w:type="dxa"/>
            <w:vAlign w:val="center"/>
          </w:tcPr>
          <w:p w14:paraId="11AFDFDD">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现场演示WIFI和蓝牙功能，通过鸿蒙系统演示这些无线通信技术的连接和使用，通过开发板连接至WIFI网络，实现与其他设备的网络通信和数据传输；演示蓝牙设备的配对和连接，以及蓝牙数据的传输和接收。功能演示完整得3分，部分演示得1分，演示功能不能实现或不演示不得分；</w:t>
            </w:r>
          </w:p>
        </w:tc>
      </w:tr>
      <w:tr w14:paraId="0D96C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atLeast"/>
          <w:jc w:val="center"/>
        </w:trPr>
        <w:tc>
          <w:tcPr>
            <w:tcW w:w="695" w:type="dxa"/>
            <w:vMerge w:val="continue"/>
            <w:noWrap/>
            <w:vAlign w:val="center"/>
          </w:tcPr>
          <w:p w14:paraId="55B40B49">
            <w:pPr>
              <w:widowControl/>
              <w:spacing w:line="400" w:lineRule="exact"/>
              <w:jc w:val="center"/>
              <w:rPr>
                <w:rFonts w:hint="eastAsia" w:ascii="宋体" w:hAnsi="宋体"/>
                <w:color w:val="000000"/>
                <w:sz w:val="24"/>
                <w:lang w:val="en-US" w:eastAsia="zh-CN"/>
              </w:rPr>
            </w:pPr>
          </w:p>
        </w:tc>
        <w:tc>
          <w:tcPr>
            <w:tcW w:w="2419" w:type="dxa"/>
            <w:vMerge w:val="continue"/>
            <w:noWrap/>
            <w:vAlign w:val="center"/>
          </w:tcPr>
          <w:p w14:paraId="5DD65FF2">
            <w:pPr>
              <w:widowControl/>
              <w:spacing w:line="400" w:lineRule="exact"/>
              <w:jc w:val="center"/>
              <w:rPr>
                <w:rFonts w:hint="eastAsia" w:ascii="宋体" w:hAnsi="宋体"/>
                <w:color w:val="000000"/>
                <w:sz w:val="24"/>
                <w:lang w:val="en-US" w:eastAsia="zh-CN"/>
              </w:rPr>
            </w:pPr>
          </w:p>
        </w:tc>
        <w:tc>
          <w:tcPr>
            <w:tcW w:w="6664" w:type="dxa"/>
            <w:vAlign w:val="center"/>
          </w:tcPr>
          <w:p w14:paraId="33BD9C9C">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现场演示开发板搭载鸿蒙系统后连接摄像头进行图像采集和显示，通过鸿蒙系统的摄像头API，用户可以实现摄像头的开启、关闭、拍照、录像等功能，并可以在显示屏上实时查看摄像头捕捉的图像。功能演示完整得3分，部分演示得1分，演示功能不能实现或不演示不得分；</w:t>
            </w:r>
          </w:p>
        </w:tc>
      </w:tr>
      <w:tr w14:paraId="1023B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atLeast"/>
          <w:jc w:val="center"/>
        </w:trPr>
        <w:tc>
          <w:tcPr>
            <w:tcW w:w="695" w:type="dxa"/>
            <w:noWrap/>
            <w:vAlign w:val="center"/>
          </w:tcPr>
          <w:p w14:paraId="3E1A5684">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5</w:t>
            </w:r>
          </w:p>
        </w:tc>
        <w:tc>
          <w:tcPr>
            <w:tcW w:w="2419" w:type="dxa"/>
            <w:noWrap/>
            <w:vAlign w:val="center"/>
          </w:tcPr>
          <w:p w14:paraId="676A25E0">
            <w:pPr>
              <w:widowControl/>
              <w:spacing w:line="400" w:lineRule="exact"/>
              <w:jc w:val="center"/>
              <w:rPr>
                <w:rFonts w:hint="eastAsia" w:ascii="宋体" w:hAnsi="宋体"/>
                <w:color w:val="000000"/>
                <w:sz w:val="24"/>
                <w:lang w:val="en-US" w:eastAsia="zh-CN"/>
              </w:rPr>
            </w:pPr>
            <w:r>
              <w:rPr>
                <w:rFonts w:hint="eastAsia" w:ascii="宋体" w:hAnsi="宋体"/>
                <w:color w:val="000000"/>
                <w:sz w:val="24"/>
                <w:lang w:val="en-US" w:eastAsia="zh-CN"/>
              </w:rPr>
              <w:t>投标人同类业绩（3分）</w:t>
            </w:r>
          </w:p>
        </w:tc>
        <w:tc>
          <w:tcPr>
            <w:tcW w:w="6664" w:type="dxa"/>
            <w:vAlign w:val="center"/>
          </w:tcPr>
          <w:p w14:paraId="41D48A3F">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投标人在2021年1月1日至今具有相关项目的成功应用案例（业绩时间以签订合同时间为准，提供合同复印件并加盖公章，原件备查），有1个得1分，最多得3分。</w:t>
            </w:r>
          </w:p>
        </w:tc>
      </w:tr>
      <w:tr w14:paraId="08C33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695" w:type="dxa"/>
            <w:vMerge w:val="restart"/>
            <w:noWrap/>
            <w:vAlign w:val="center"/>
          </w:tcPr>
          <w:p w14:paraId="44A008C9">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6</w:t>
            </w:r>
          </w:p>
        </w:tc>
        <w:tc>
          <w:tcPr>
            <w:tcW w:w="2419" w:type="dxa"/>
            <w:vMerge w:val="restart"/>
            <w:noWrap/>
            <w:vAlign w:val="center"/>
          </w:tcPr>
          <w:p w14:paraId="493866FD">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企业实力（10分）</w:t>
            </w:r>
          </w:p>
        </w:tc>
        <w:tc>
          <w:tcPr>
            <w:tcW w:w="6664" w:type="dxa"/>
            <w:vAlign w:val="center"/>
          </w:tcPr>
          <w:p w14:paraId="47D58594">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投标人或所投设备生产厂商是教育部产学研协同育人项目合作单位的，提供教育部网站公示截图并加盖公章，得1分，没有或者未提供者得0分。</w:t>
            </w:r>
          </w:p>
        </w:tc>
      </w:tr>
      <w:tr w14:paraId="39609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695" w:type="dxa"/>
            <w:vMerge w:val="continue"/>
            <w:noWrap/>
            <w:vAlign w:val="center"/>
          </w:tcPr>
          <w:p w14:paraId="2743FABA">
            <w:pPr>
              <w:widowControl/>
              <w:spacing w:line="400" w:lineRule="exact"/>
              <w:jc w:val="left"/>
            </w:pPr>
          </w:p>
        </w:tc>
        <w:tc>
          <w:tcPr>
            <w:tcW w:w="2419" w:type="dxa"/>
            <w:vMerge w:val="continue"/>
            <w:noWrap/>
            <w:vAlign w:val="center"/>
          </w:tcPr>
          <w:p w14:paraId="4AFF4549">
            <w:pPr>
              <w:widowControl/>
              <w:spacing w:line="400" w:lineRule="exact"/>
              <w:jc w:val="left"/>
            </w:pPr>
          </w:p>
        </w:tc>
        <w:tc>
          <w:tcPr>
            <w:tcW w:w="6664" w:type="dxa"/>
            <w:vAlign w:val="center"/>
          </w:tcPr>
          <w:p w14:paraId="5EAEA026">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投标人或所投设备生产厂商具有产业教授，提供教育厅网站公示截图或产业教授证书复印件并加盖公章，得1分，没有或者未提供者得0分。</w:t>
            </w:r>
          </w:p>
        </w:tc>
      </w:tr>
      <w:tr w14:paraId="17FF8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695" w:type="dxa"/>
            <w:vMerge w:val="continue"/>
            <w:noWrap/>
            <w:vAlign w:val="center"/>
          </w:tcPr>
          <w:p w14:paraId="3677A36A">
            <w:pPr>
              <w:widowControl/>
              <w:spacing w:line="400" w:lineRule="exact"/>
              <w:jc w:val="left"/>
              <w:rPr>
                <w:rFonts w:hint="eastAsia" w:ascii="宋体" w:hAnsi="宋体"/>
                <w:color w:val="000000"/>
                <w:sz w:val="24"/>
                <w:lang w:val="en-US" w:eastAsia="zh-CN"/>
              </w:rPr>
            </w:pPr>
          </w:p>
        </w:tc>
        <w:tc>
          <w:tcPr>
            <w:tcW w:w="2419" w:type="dxa"/>
            <w:vMerge w:val="continue"/>
            <w:noWrap/>
            <w:vAlign w:val="center"/>
          </w:tcPr>
          <w:p w14:paraId="18476814">
            <w:pPr>
              <w:widowControl/>
              <w:spacing w:line="400" w:lineRule="exact"/>
              <w:jc w:val="left"/>
              <w:rPr>
                <w:rFonts w:hint="eastAsia" w:ascii="宋体" w:hAnsi="宋体"/>
                <w:color w:val="000000"/>
                <w:sz w:val="24"/>
                <w:lang w:val="en-US" w:eastAsia="zh-CN"/>
              </w:rPr>
            </w:pPr>
          </w:p>
        </w:tc>
        <w:tc>
          <w:tcPr>
            <w:tcW w:w="6664" w:type="dxa"/>
            <w:vAlign w:val="center"/>
          </w:tcPr>
          <w:p w14:paraId="7DC91BC6">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投标人或所投设备生产厂商具备鸿蒙系统应用开发平台、边缘计算服务系统、设备联网系统著作权的，提供著作权证书复印件并加盖公章，每提供一个得1分，共计3分，没有或者未提供者得0分。</w:t>
            </w:r>
          </w:p>
        </w:tc>
      </w:tr>
      <w:tr w14:paraId="37A68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695" w:type="dxa"/>
            <w:vMerge w:val="continue"/>
            <w:noWrap/>
            <w:vAlign w:val="center"/>
          </w:tcPr>
          <w:p w14:paraId="5C797A4F">
            <w:pPr>
              <w:widowControl/>
              <w:spacing w:line="400" w:lineRule="exact"/>
              <w:jc w:val="left"/>
              <w:rPr>
                <w:rFonts w:hint="eastAsia" w:ascii="宋体" w:hAnsi="宋体"/>
                <w:color w:val="000000"/>
                <w:sz w:val="24"/>
                <w:lang w:val="en-US" w:eastAsia="zh-CN"/>
              </w:rPr>
            </w:pPr>
          </w:p>
        </w:tc>
        <w:tc>
          <w:tcPr>
            <w:tcW w:w="2419" w:type="dxa"/>
            <w:vMerge w:val="continue"/>
            <w:noWrap/>
            <w:vAlign w:val="center"/>
          </w:tcPr>
          <w:p w14:paraId="33A7EB14">
            <w:pPr>
              <w:widowControl/>
              <w:spacing w:line="400" w:lineRule="exact"/>
              <w:jc w:val="left"/>
              <w:rPr>
                <w:rFonts w:hint="eastAsia" w:ascii="宋体" w:hAnsi="宋体"/>
                <w:color w:val="000000"/>
                <w:sz w:val="24"/>
                <w:lang w:val="en-US" w:eastAsia="zh-CN"/>
              </w:rPr>
            </w:pPr>
          </w:p>
        </w:tc>
        <w:tc>
          <w:tcPr>
            <w:tcW w:w="6664" w:type="dxa"/>
            <w:vAlign w:val="center"/>
          </w:tcPr>
          <w:p w14:paraId="37413F1A">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投标人或所投设备生产厂商通过企业知识产权管理贯标备案的，提供知识产权局网站公示截图和知识产权管理体系认证证书复印件并加盖公章，得2分，没有或者未提供者得0分。</w:t>
            </w:r>
          </w:p>
        </w:tc>
      </w:tr>
      <w:tr w14:paraId="3FE39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695" w:type="dxa"/>
            <w:vMerge w:val="continue"/>
            <w:noWrap/>
            <w:vAlign w:val="center"/>
          </w:tcPr>
          <w:p w14:paraId="5BEB2647">
            <w:pPr>
              <w:widowControl/>
              <w:spacing w:line="400" w:lineRule="exact"/>
              <w:jc w:val="left"/>
              <w:rPr>
                <w:rFonts w:hint="eastAsia" w:ascii="宋体" w:hAnsi="宋体"/>
                <w:color w:val="000000"/>
                <w:sz w:val="24"/>
                <w:lang w:val="en-US" w:eastAsia="zh-CN"/>
              </w:rPr>
            </w:pPr>
          </w:p>
        </w:tc>
        <w:tc>
          <w:tcPr>
            <w:tcW w:w="2419" w:type="dxa"/>
            <w:vMerge w:val="continue"/>
            <w:noWrap/>
            <w:vAlign w:val="center"/>
          </w:tcPr>
          <w:p w14:paraId="5A967ECD">
            <w:pPr>
              <w:widowControl/>
              <w:spacing w:line="400" w:lineRule="exact"/>
              <w:jc w:val="left"/>
              <w:rPr>
                <w:rFonts w:hint="eastAsia" w:ascii="宋体" w:hAnsi="宋体"/>
                <w:color w:val="000000"/>
                <w:sz w:val="24"/>
                <w:lang w:val="en-US" w:eastAsia="zh-CN"/>
              </w:rPr>
            </w:pPr>
          </w:p>
        </w:tc>
        <w:tc>
          <w:tcPr>
            <w:tcW w:w="6664" w:type="dxa"/>
            <w:vAlign w:val="center"/>
          </w:tcPr>
          <w:p w14:paraId="6A9680AF">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投标人具有有效期内的ISO14001环境管理体系认证、ISO9001质量体系认证、OHSAS18001职业健康安全管理体系认证，每提供1个得1分，最多得3分，没有不得分（提供证书复印件并加盖公章或提供网站截图并加盖公章）。</w:t>
            </w:r>
          </w:p>
        </w:tc>
      </w:tr>
      <w:tr w14:paraId="26794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695" w:type="dxa"/>
            <w:vMerge w:val="restart"/>
            <w:noWrap/>
            <w:vAlign w:val="center"/>
          </w:tcPr>
          <w:p w14:paraId="0B45802C">
            <w:pPr>
              <w:widowControl/>
              <w:spacing w:line="400" w:lineRule="exact"/>
              <w:jc w:val="left"/>
              <w:rPr>
                <w:rFonts w:hint="default" w:ascii="宋体" w:hAnsi="宋体"/>
                <w:color w:val="000000"/>
                <w:sz w:val="24"/>
                <w:lang w:val="en-US" w:eastAsia="zh-CN"/>
              </w:rPr>
            </w:pPr>
            <w:r>
              <w:rPr>
                <w:rFonts w:hint="eastAsia" w:ascii="宋体" w:hAnsi="宋体"/>
                <w:color w:val="000000"/>
                <w:sz w:val="24"/>
                <w:lang w:val="en-US" w:eastAsia="zh-CN"/>
              </w:rPr>
              <w:t>7</w:t>
            </w:r>
          </w:p>
        </w:tc>
        <w:tc>
          <w:tcPr>
            <w:tcW w:w="2419" w:type="dxa"/>
            <w:vMerge w:val="restart"/>
            <w:noWrap/>
            <w:vAlign w:val="center"/>
          </w:tcPr>
          <w:p w14:paraId="46314A78">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服务（5分）</w:t>
            </w:r>
          </w:p>
        </w:tc>
        <w:tc>
          <w:tcPr>
            <w:tcW w:w="6664" w:type="dxa"/>
            <w:vAlign w:val="center"/>
          </w:tcPr>
          <w:p w14:paraId="2649530A">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针对招标要求服务能力部分，提供售后服务方案：售后服务体系、售后服务机构及人员、售后服务承诺、售后服务应答及处理时间，质保期内的售后服务范围和收费情况由评委酌情打分，优得3分，良得2分，一般得1分。</w:t>
            </w:r>
          </w:p>
        </w:tc>
      </w:tr>
      <w:tr w14:paraId="573EC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695" w:type="dxa"/>
            <w:vMerge w:val="continue"/>
            <w:noWrap/>
            <w:vAlign w:val="center"/>
          </w:tcPr>
          <w:p w14:paraId="3E067994">
            <w:pPr>
              <w:widowControl/>
              <w:spacing w:line="400" w:lineRule="exact"/>
              <w:jc w:val="left"/>
            </w:pPr>
          </w:p>
        </w:tc>
        <w:tc>
          <w:tcPr>
            <w:tcW w:w="2419" w:type="dxa"/>
            <w:vMerge w:val="continue"/>
            <w:noWrap/>
            <w:vAlign w:val="center"/>
          </w:tcPr>
          <w:p w14:paraId="005B2F37">
            <w:pPr>
              <w:widowControl/>
              <w:spacing w:line="400" w:lineRule="exact"/>
              <w:jc w:val="left"/>
            </w:pPr>
          </w:p>
        </w:tc>
        <w:tc>
          <w:tcPr>
            <w:tcW w:w="6664" w:type="dxa"/>
            <w:vAlign w:val="center"/>
          </w:tcPr>
          <w:p w14:paraId="7AB22147">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培训方案：对供应商的培训方案及计划由评委酌情打分，优得2分，一般得1分。</w:t>
            </w:r>
          </w:p>
        </w:tc>
      </w:tr>
    </w:tbl>
    <w:p w14:paraId="5505BA53">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57C9F3AB">
      <w:pPr>
        <w:spacing w:line="360" w:lineRule="auto"/>
        <w:rPr>
          <w:rFonts w:hint="eastAsia" w:ascii="宋体" w:hAnsi="宋体"/>
          <w:b/>
          <w:color w:val="000000"/>
          <w:sz w:val="24"/>
        </w:rPr>
      </w:pPr>
      <w:r>
        <w:rPr>
          <w:rFonts w:hint="eastAsia" w:ascii="宋体" w:hAnsi="宋体"/>
          <w:b/>
          <w:color w:val="000000"/>
          <w:sz w:val="24"/>
        </w:rPr>
        <w:t xml:space="preserve">  六、 定标</w:t>
      </w:r>
    </w:p>
    <w:p w14:paraId="7995C81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0F0D38B">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31F03E7C">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6899DD5C">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1CDEE3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2343E93B">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tbl>
      <w:tblPr>
        <w:tblStyle w:val="22"/>
        <w:tblW w:w="7799"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085"/>
        <w:gridCol w:w="1857"/>
        <w:gridCol w:w="1857"/>
      </w:tblGrid>
      <w:tr w14:paraId="1A498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085" w:type="dxa"/>
            <w:tcBorders>
              <w:top w:val="single" w:color="000000" w:sz="4" w:space="0"/>
              <w:left w:val="single" w:color="000000" w:sz="4" w:space="0"/>
              <w:bottom w:val="single" w:color="000000" w:sz="4" w:space="0"/>
              <w:right w:val="single" w:color="000000" w:sz="4" w:space="0"/>
            </w:tcBorders>
            <w:noWrap/>
            <w:vAlign w:val="center"/>
          </w:tcPr>
          <w:p w14:paraId="5363F05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1857" w:type="dxa"/>
            <w:tcBorders>
              <w:top w:val="single" w:color="000000" w:sz="4" w:space="0"/>
              <w:left w:val="single" w:color="000000" w:sz="4" w:space="0"/>
              <w:bottom w:val="single" w:color="000000" w:sz="4" w:space="0"/>
              <w:right w:val="single" w:color="000000" w:sz="4" w:space="0"/>
            </w:tcBorders>
            <w:noWrap/>
            <w:vAlign w:val="center"/>
          </w:tcPr>
          <w:p w14:paraId="04038CA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1857" w:type="dxa"/>
            <w:tcBorders>
              <w:top w:val="single" w:color="000000" w:sz="4" w:space="0"/>
              <w:left w:val="single" w:color="000000" w:sz="4" w:space="0"/>
              <w:bottom w:val="single" w:color="000000" w:sz="4" w:space="0"/>
              <w:right w:val="single" w:color="000000" w:sz="4" w:space="0"/>
            </w:tcBorders>
            <w:noWrap/>
            <w:vAlign w:val="center"/>
          </w:tcPr>
          <w:p w14:paraId="6C873FB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r>
      <w:tr w14:paraId="2651F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AEB224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鸿蒙智能开发板</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169F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2BF5B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3EA98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566574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高清触摸屏</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39EB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9EB5F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25D68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BB161E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摄像头</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55260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555F3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75F27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1DF730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4G模块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7E333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53BF8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64F70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61B3F5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Zigbee模块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3454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D479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36539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70725E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WIFI模组</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3C4F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42F3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30677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4414C4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光照传感器模块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9D1C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C022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6CE2D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57792C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烟雾传感器模块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1974C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07CA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19C59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6CF178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火焰传感器模块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38BF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2C9DB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62E45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8EC859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继电器模块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7FAF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A1CB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393B6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C071DA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激光测距传感器模块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24B0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8E64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747B6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59C8BD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触摸传感器模块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D75C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AE3F2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21001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BEFDB2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STM32模块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3365B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88A72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55F7B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A90C6A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心率脉搏传感器模块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CE20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8B418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073D8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42F1FD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人体红外传感器模块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29FEB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037D6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28A94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086917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摇杆模块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2B20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35E7D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4BE98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445F21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震动传感器模块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C120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CAF03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76D7B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F5D9BF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NFC-RFID模块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F1C5C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9C61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3C242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59F6A5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D98A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F3D2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30C0B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02B1C7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语音识别模块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96261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6ACD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4B70C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17B9C8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语音合成播放模块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4CBC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A293B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1AEC2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9F04D1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视觉识别模块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D4A8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3309C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40EA7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93B28C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蓝牙模组</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CF96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8C41F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6D3BE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6B7468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Lora模组</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35420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87FE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5003B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3338FF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GPS北斗导航模组</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9DA4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9F94A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2D612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DF3EAF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指纹识别模组</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B2D2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5CEB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456EF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1A30D9A">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鸿蒙开发案例资源</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AE50A4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3ECADD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r>
    </w:tbl>
    <w:p w14:paraId="28AE38B2">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技术服务主要参数要求：</w:t>
      </w:r>
    </w:p>
    <w:p w14:paraId="08B457D4">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Times New Roman"/>
          <w:color w:val="000000"/>
          <w:kern w:val="0"/>
          <w:sz w:val="28"/>
          <w:szCs w:val="28"/>
          <w:lang w:val="en-US" w:eastAsia="zh-CN" w:bidi="ar-SA"/>
        </w:rPr>
      </w:pPr>
      <w:r>
        <w:rPr>
          <w:rFonts w:hint="eastAsia" w:ascii="宋体" w:hAnsi="宋体" w:eastAsia="宋体" w:cs="Times New Roman"/>
          <w:color w:val="000000"/>
          <w:kern w:val="0"/>
          <w:sz w:val="28"/>
          <w:szCs w:val="28"/>
          <w:lang w:val="en-US" w:eastAsia="zh-CN" w:bidi="ar-SA"/>
        </w:rPr>
        <w:t>鸿蒙智能开发板套件集成了CPU、GPU、NPU、VPU于一体，满足轻量级AI计算，适合物联网网关、NVR、安防监控、工控平板、车载中控、视频会议一体机等多种应用场景的教学与实训，促进产教融合，提升学生实际操作能力。同时鸿蒙智能开发板套件支持多种操作系统和丰富的技术资料，为教师和研究人员提供了广阔的技术创新空间，可以推动相关技术的研发和创新，为行业发展和技术进步做出贡献。</w:t>
      </w:r>
    </w:p>
    <w:p w14:paraId="3A1BC75D">
      <w:pPr>
        <w:rPr>
          <w:rFonts w:hint="eastAsia" w:ascii="宋体" w:hAnsi="宋体" w:cs="Times New Roman"/>
          <w:color w:val="000000"/>
          <w:kern w:val="0"/>
          <w:sz w:val="28"/>
          <w:szCs w:val="28"/>
          <w:lang w:val="en-US" w:eastAsia="zh-CN" w:bidi="ar-SA"/>
        </w:rPr>
      </w:pPr>
      <w:r>
        <w:rPr>
          <w:rFonts w:hint="eastAsia" w:ascii="宋体" w:hAnsi="宋体" w:cs="Times New Roman"/>
          <w:color w:val="000000"/>
          <w:kern w:val="0"/>
          <w:sz w:val="28"/>
          <w:szCs w:val="28"/>
          <w:lang w:val="en-US" w:eastAsia="zh-CN" w:bidi="ar-SA"/>
        </w:rPr>
        <w:t>主要技术参数要求如下：</w:t>
      </w:r>
    </w:p>
    <w:tbl>
      <w:tblPr>
        <w:tblStyle w:val="22"/>
        <w:tblW w:w="8779" w:type="dxa"/>
        <w:tblInd w:w="10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63"/>
        <w:gridCol w:w="6716"/>
      </w:tblGrid>
      <w:tr w14:paraId="6B7AE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3698E62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6716" w:type="dxa"/>
            <w:tcBorders>
              <w:top w:val="single" w:color="000000" w:sz="4" w:space="0"/>
              <w:left w:val="single" w:color="000000" w:sz="4" w:space="0"/>
              <w:bottom w:val="single" w:color="000000" w:sz="4" w:space="0"/>
              <w:right w:val="single" w:color="000000" w:sz="4" w:space="0"/>
            </w:tcBorders>
            <w:noWrap/>
            <w:vAlign w:val="center"/>
          </w:tcPr>
          <w:p w14:paraId="7BFECBF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性能要求</w:t>
            </w:r>
          </w:p>
        </w:tc>
      </w:tr>
      <w:tr w14:paraId="726F7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3F1923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鸿蒙智能开发板</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7F9C30D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w:t>
            </w:r>
            <w:r>
              <w:rPr>
                <w:rFonts w:hint="eastAsia" w:ascii="宋体" w:hAnsi="宋体" w:eastAsia="宋体" w:cs="宋体"/>
                <w:i w:val="0"/>
                <w:iCs w:val="0"/>
                <w:color w:val="000000"/>
                <w:kern w:val="0"/>
                <w:sz w:val="24"/>
                <w:szCs w:val="24"/>
                <w:u w:val="none"/>
                <w:lang w:val="en-US" w:eastAsia="zh-CN" w:bidi="ar"/>
              </w:rPr>
              <w:t>（1）采用RK3568四核64位Cortex-A55处理器，主频最高可达2.0GHz，基于22nm先进制程工艺，具有强大的数据处理能力，能够满足复杂的网络通讯和处理需求；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（2）作为物联网系统中的关键节点，实现设备间的数据传输和分析；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（3）通过丰富的接口和强大的数据处理能力，实现与各种工业设备和传感器的无缝连接和高效协同；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sz w:val="24"/>
                <w:szCs w:val="24"/>
                <w:lang w:val="en-US" w:eastAsia="zh-CN"/>
              </w:rPr>
              <w:t>★</w:t>
            </w:r>
            <w:r>
              <w:rPr>
                <w:rFonts w:hint="eastAsia" w:ascii="宋体" w:hAnsi="宋体" w:eastAsia="宋体" w:cs="宋体"/>
                <w:i w:val="0"/>
                <w:iCs w:val="0"/>
                <w:color w:val="000000"/>
                <w:kern w:val="0"/>
                <w:sz w:val="24"/>
                <w:szCs w:val="24"/>
                <w:u w:val="none"/>
                <w:lang w:val="en-US" w:eastAsia="zh-CN" w:bidi="ar"/>
              </w:rPr>
              <w:t>（4）支持OpenHarmony、Android11和Linux系统，提供丰富的技术资料和开发工具，便于用户快速开发和部署应用；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sz w:val="24"/>
                <w:szCs w:val="24"/>
                <w:lang w:val="en-US" w:eastAsia="zh-CN"/>
              </w:rPr>
              <w:t>★</w:t>
            </w:r>
            <w:r>
              <w:rPr>
                <w:rFonts w:hint="eastAsia" w:ascii="宋体" w:hAnsi="宋体" w:eastAsia="宋体" w:cs="宋体"/>
                <w:i w:val="0"/>
                <w:iCs w:val="0"/>
                <w:color w:val="000000"/>
                <w:kern w:val="0"/>
                <w:sz w:val="24"/>
                <w:szCs w:val="24"/>
                <w:u w:val="none"/>
                <w:lang w:val="en-US" w:eastAsia="zh-CN" w:bidi="ar"/>
              </w:rPr>
              <w:t>（5）NPU: 1.0Tops、GPU: Mali G52、内存: 4GB LPDDR4/4X 、存储: 64GB eMMC 、ISP: 支持 3A、HDR、3DLUT、BLC 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（6）视频编码器: 1080p@60fps H.265/H.264；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（7）RGA 2D 图像引擎: 2D 图像裁剪、格式转换、缩放、旋转、图片叠加等；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（8）视频解码器: 4k@60fps H.265/H.264/VP9；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（9）JPEG 编码器: 最大支持 8192x8192，高达每秒 9000 万像素；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（10）JPEG 解码器: 最大支持 8176x8176，每秒 7600 万像素；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（11）电源芯片: RK809 (内置音频、RTC 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（12）显示接口:HDMI OUT: 1080p@120Hz, 4k@60Hz、MIPI DSI: 1080p@60Hz；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（13）网络接口:Ethernet: 自适应千兆网口 x2；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（14）M.2 WIFI 接口: 支持 Intel 3165, rtl8822ce, rtl8822be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（15）通信接口:UART (串口): 排针引出；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（16）USB HOST: 两路 USB HOST 3.0, 两路 USB HOST 2.0；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（17）传感器接口: IR 红外接收；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（18）外接存储接口:支持 TF 卡、支持 M.2 接口硬盘；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（19）音频接口: 三段式耳机座子；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sz w:val="24"/>
                <w:szCs w:val="24"/>
                <w:lang w:val="en-US" w:eastAsia="zh-CN"/>
              </w:rPr>
              <w:t>★</w:t>
            </w:r>
            <w:r>
              <w:rPr>
                <w:rFonts w:hint="eastAsia" w:ascii="宋体" w:hAnsi="宋体" w:eastAsia="宋体" w:cs="宋体"/>
                <w:i w:val="0"/>
                <w:iCs w:val="0"/>
                <w:color w:val="000000"/>
                <w:kern w:val="0"/>
                <w:sz w:val="24"/>
                <w:szCs w:val="24"/>
                <w:u w:val="none"/>
                <w:lang w:val="en-US" w:eastAsia="zh-CN" w:bidi="ar"/>
              </w:rPr>
              <w:t>（20）其他接口: 3 个功能按键,、2 个可编程按键、1 个可编程 LED、40Pin 外扩 IO、风扇接口；</w:t>
            </w:r>
          </w:p>
        </w:tc>
      </w:tr>
      <w:tr w14:paraId="68838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11BFC1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高清触摸屏</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558BF6F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（1）尺寸：10.1英寸；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（2）分辨率：1280×800像素；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（3）显示面板：IPS全视角面板，提供广阔的视角和出色的色彩表现；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sz w:val="24"/>
                <w:szCs w:val="24"/>
                <w:lang w:val="en-US" w:eastAsia="zh-CN"/>
              </w:rPr>
              <w:t>★</w:t>
            </w:r>
            <w:r>
              <w:rPr>
                <w:rFonts w:hint="eastAsia" w:ascii="宋体" w:hAnsi="宋体" w:eastAsia="宋体" w:cs="宋体"/>
                <w:i w:val="0"/>
                <w:iCs w:val="0"/>
                <w:color w:val="000000"/>
                <w:kern w:val="0"/>
                <w:sz w:val="24"/>
                <w:szCs w:val="24"/>
                <w:u w:val="none"/>
                <w:lang w:val="en-US" w:eastAsia="zh-CN" w:bidi="ar"/>
              </w:rPr>
              <w:t>（4）亮度：亮度范围可能在300cd/m²至800cd/m²之间；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（5）对比度：对比度通常在800:1至1000:1之间，高对比度能呈现更丰富的色彩层次和细节；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（6）可视角度：具有178°（左右/上下）的宽广可视角度，确保在不同角度下都能获得清晰的画面。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（7）接口类型：MIPI接口，支持MIPI DSI（显示串行接口）或MIPI CSI（摄像头串行接口）；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sz w:val="24"/>
                <w:szCs w:val="24"/>
                <w:lang w:val="en-US" w:eastAsia="zh-CN"/>
              </w:rPr>
              <w:t>★</w:t>
            </w:r>
            <w:r>
              <w:rPr>
                <w:rFonts w:hint="eastAsia" w:ascii="宋体" w:hAnsi="宋体" w:eastAsia="宋体" w:cs="宋体"/>
                <w:i w:val="0"/>
                <w:iCs w:val="0"/>
                <w:color w:val="000000"/>
                <w:kern w:val="0"/>
                <w:sz w:val="24"/>
                <w:szCs w:val="24"/>
                <w:u w:val="none"/>
                <w:lang w:val="en-US" w:eastAsia="zh-CN" w:bidi="ar"/>
              </w:rPr>
              <w:t>（8）色彩深度：16.7M色，提供丰富的色彩表现。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（9）响应时间：通常在10ms至25ms之间，快速响应时间有助于减少画面拖影和模糊现象。</w:t>
            </w:r>
          </w:p>
        </w:tc>
      </w:tr>
      <w:tr w14:paraId="2E853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232E82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摄像头</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37A481D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（1）传感器类型：CMOS图像传感器；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sz w:val="24"/>
                <w:szCs w:val="24"/>
                <w:lang w:val="en-US" w:eastAsia="zh-CN"/>
              </w:rPr>
              <w:t>★</w:t>
            </w:r>
            <w:r>
              <w:rPr>
                <w:rFonts w:hint="eastAsia" w:ascii="宋体" w:hAnsi="宋体" w:eastAsia="宋体" w:cs="宋体"/>
                <w:i w:val="0"/>
                <w:iCs w:val="0"/>
                <w:color w:val="000000"/>
                <w:kern w:val="0"/>
                <w:sz w:val="24"/>
                <w:szCs w:val="24"/>
                <w:u w:val="none"/>
                <w:lang w:val="en-US" w:eastAsia="zh-CN" w:bidi="ar"/>
              </w:rPr>
              <w:t>（2）传感器像素：800万像素；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（3）最高分辨率：3264×2448；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（4）像素尺寸：1.12µm×1.12µm；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（5）光学尺寸：1/4英寸；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（6）帧速：30FPS；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（7）像素技术：采用OmniBSI-3像素技术；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（8）接口类型：MIPI接口，支持多达4个通道；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（9）图像控制：通过串行摄像机控制总线（SCCB）接口提供各种格式的全帧、亚采样和加窗的图像；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sz w:val="24"/>
                <w:szCs w:val="24"/>
                <w:lang w:val="en-US" w:eastAsia="zh-CN"/>
              </w:rPr>
              <w:t>★</w:t>
            </w:r>
            <w:r>
              <w:rPr>
                <w:rFonts w:hint="eastAsia" w:ascii="宋体" w:hAnsi="宋体" w:eastAsia="宋体" w:cs="宋体"/>
                <w:i w:val="0"/>
                <w:iCs w:val="0"/>
                <w:color w:val="000000"/>
                <w:kern w:val="0"/>
                <w:sz w:val="24"/>
                <w:szCs w:val="24"/>
                <w:u w:val="none"/>
                <w:lang w:val="en-US" w:eastAsia="zh-CN" w:bidi="ar"/>
              </w:rPr>
              <w:t>（10）图像质量：支持缺陷像素校正、自动黑电平校正、镜头阴影校正和交替行HDR等图像质量控制功能；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应用范围：可用于笔记本电脑、液晶显示器、安防摄像、视频会议等多种场景，也适用于智能手机、AR/VR设备、无人机、3D扫描仪、PAD、安全设备、嵌入式系统、虹膜识别技术、智能家居、汽车、工业内窥镜、医疗仪器等领域；</w:t>
            </w:r>
          </w:p>
        </w:tc>
      </w:tr>
      <w:tr w14:paraId="3252B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3D8E04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4G模块</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6AC1226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（1）采用LTE技术，支持高速数据传输，能够满足大数据、高质量音视频和图像等传输需求；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（2）通过接入运营商提供的网络，能够将设备连接到互联网，实现远程通信和数据传输；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sz w:val="24"/>
                <w:szCs w:val="24"/>
                <w:lang w:val="en-US" w:eastAsia="zh-CN"/>
              </w:rPr>
              <w:t>★</w:t>
            </w:r>
            <w:r>
              <w:rPr>
                <w:rFonts w:hint="eastAsia" w:ascii="宋体" w:hAnsi="宋体" w:eastAsia="宋体" w:cs="宋体"/>
                <w:i w:val="0"/>
                <w:iCs w:val="0"/>
                <w:color w:val="000000"/>
                <w:kern w:val="0"/>
                <w:sz w:val="24"/>
                <w:szCs w:val="24"/>
                <w:u w:val="none"/>
                <w:lang w:val="en-US" w:eastAsia="zh-CN" w:bidi="ar"/>
              </w:rPr>
              <w:t>（3）模组内置丰富的网络协议和工业标准接口，如USB、UART、I2C等，便于与各种设备连接和集成；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sz w:val="24"/>
                <w:szCs w:val="24"/>
                <w:lang w:val="en-US" w:eastAsia="zh-CN"/>
              </w:rPr>
              <w:t>★</w:t>
            </w:r>
            <w:r>
              <w:rPr>
                <w:rFonts w:hint="eastAsia" w:ascii="宋体" w:hAnsi="宋体" w:eastAsia="宋体" w:cs="宋体"/>
                <w:i w:val="0"/>
                <w:iCs w:val="0"/>
                <w:color w:val="000000"/>
                <w:kern w:val="0"/>
                <w:sz w:val="24"/>
                <w:szCs w:val="24"/>
                <w:u w:val="none"/>
                <w:lang w:val="en-US" w:eastAsia="zh-CN" w:bidi="ar"/>
              </w:rPr>
              <w:t>（4）频段：LTE FDD：B1/B3/B5/B8、LTE TDD：B34/B38/B39/B40/B41、TD-SCDMA：B34/B39、WCDMA：B1/B8、CDMA：BC0、GSM：900/1800 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（5）数据速率：LTE FDD：最大150 Mbps（下行）/ 最大50 Mbps（上行）、LTE TDD：最大130 Mbps（下行）/ 最大30 Mbps（上行）；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（6）UMTS：DC-HSPA+：最大42 Mbps（下行）、HSUPA：最大5.76 Mbps（上行）；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（7）WCDMA：最大384 bps（下行/上行）、TD-SCDMA：最大4.2 Mbps（下行）/ 最大2.2 Mbps（上行）；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（8）CDMA2000：EVDO：最大3.1 Mbps（下行）/ 最大1.8 Mbps（上行）、1X Advanced：最大307.2 kbps（下行/上行）；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（9）GSM：EDGE：最大296 kbps（下行）/ 最大236.8 kbps（上行）；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（10）GPRS：最大107 kbps（下行）/ 最大85.6 kbps（上行）；</w:t>
            </w:r>
          </w:p>
        </w:tc>
      </w:tr>
      <w:tr w14:paraId="2A37C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3A7D72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Zigbee模块</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60686F20">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）采用低功耗设计，适用于电池供电设备，能够长时间稳定运行；</w:t>
            </w:r>
          </w:p>
          <w:p w14:paraId="551F76E7">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）支持多设备之间的连接，可以实现设备之间的互联互通；</w:t>
            </w:r>
          </w:p>
          <w:p w14:paraId="6A74716C">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）采用可靠的通信协议，可以有效地避免数据丢失和干扰，确保通信的可靠性；</w:t>
            </w:r>
          </w:p>
          <w:p w14:paraId="29707977">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）具有简单、灵活的部署方式，可以快速搭建起无线通信网络；</w:t>
            </w:r>
          </w:p>
          <w:p w14:paraId="720C474B">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）具有自组织和自愈能力，当网络中有节点出现故障时，网络可以自动进行修复和调整，确保通信的连续性和稳定性；</w:t>
            </w:r>
          </w:p>
          <w:p w14:paraId="32C0B372">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hint="eastAsia" w:ascii="宋体" w:hAnsi="宋体" w:eastAsia="宋体" w:cs="宋体"/>
                <w:sz w:val="24"/>
                <w:szCs w:val="24"/>
              </w:rPr>
              <w:t>主控芯片采用CC2530</w:t>
            </w:r>
            <w:r>
              <w:rPr>
                <w:rFonts w:hint="eastAsia" w:ascii="宋体" w:hAnsi="宋体" w:eastAsia="宋体" w:cs="宋体"/>
                <w:sz w:val="24"/>
                <w:szCs w:val="24"/>
                <w:lang w:eastAsia="zh-CN"/>
              </w:rPr>
              <w:t>；</w:t>
            </w:r>
          </w:p>
          <w:p w14:paraId="709D0B34">
            <w:pPr>
              <w:rPr>
                <w:rFonts w:hint="eastAsia" w:ascii="宋体" w:hAnsi="宋体" w:eastAsia="宋体" w:cs="宋体"/>
                <w:sz w:val="24"/>
                <w:szCs w:val="24"/>
                <w:lang w:eastAsia="zh-CN"/>
              </w:rPr>
            </w:pP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w:t>
            </w:r>
            <w:r>
              <w:rPr>
                <w:rFonts w:hint="eastAsia" w:ascii="宋体" w:hAnsi="宋体" w:eastAsia="宋体" w:cs="宋体"/>
                <w:sz w:val="24"/>
                <w:szCs w:val="24"/>
              </w:rPr>
              <w:t>接口类型:USB/UART/SPI</w:t>
            </w:r>
            <w:r>
              <w:rPr>
                <w:rFonts w:hint="eastAsia" w:ascii="宋体" w:hAnsi="宋体" w:eastAsia="宋体" w:cs="宋体"/>
                <w:sz w:val="24"/>
                <w:szCs w:val="24"/>
                <w:lang w:eastAsia="zh-CN"/>
              </w:rPr>
              <w:t>；</w:t>
            </w:r>
          </w:p>
          <w:p w14:paraId="7574F013">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w:t>
            </w:r>
            <w:r>
              <w:rPr>
                <w:rFonts w:hint="eastAsia" w:ascii="宋体" w:hAnsi="宋体" w:eastAsia="宋体" w:cs="宋体"/>
                <w:sz w:val="24"/>
                <w:szCs w:val="24"/>
              </w:rPr>
              <w:t>传输速率:9600Kbps工作频段:2</w:t>
            </w:r>
            <w:r>
              <w:rPr>
                <w:rFonts w:hint="eastAsia" w:ascii="宋体" w:hAnsi="宋体" w:eastAsia="宋体" w:cs="宋体"/>
                <w:sz w:val="24"/>
                <w:szCs w:val="24"/>
                <w:lang w:val="en-US" w:eastAsia="zh-CN"/>
              </w:rPr>
              <w:t>.</w:t>
            </w:r>
            <w:r>
              <w:rPr>
                <w:rFonts w:hint="eastAsia" w:ascii="宋体" w:hAnsi="宋体" w:eastAsia="宋体" w:cs="宋体"/>
                <w:sz w:val="24"/>
                <w:szCs w:val="24"/>
              </w:rPr>
              <w:t>4GHz</w:t>
            </w:r>
            <w:r>
              <w:rPr>
                <w:rFonts w:hint="eastAsia" w:ascii="宋体" w:hAnsi="宋体" w:eastAsia="宋体" w:cs="宋体"/>
                <w:sz w:val="24"/>
                <w:szCs w:val="24"/>
                <w:lang w:eastAsia="zh-CN"/>
              </w:rPr>
              <w:t>；</w:t>
            </w:r>
          </w:p>
          <w:p w14:paraId="7D5D0878">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w:t>
            </w:r>
            <w:r>
              <w:rPr>
                <w:rFonts w:hint="eastAsia" w:ascii="宋体" w:hAnsi="宋体" w:eastAsia="宋体" w:cs="宋体"/>
                <w:sz w:val="24"/>
                <w:szCs w:val="24"/>
              </w:rPr>
              <w:t>工作电压:5V有效通信距离:300m</w:t>
            </w:r>
            <w:r>
              <w:rPr>
                <w:rFonts w:hint="eastAsia" w:ascii="宋体" w:hAnsi="宋体" w:eastAsia="宋体" w:cs="宋体"/>
                <w:sz w:val="24"/>
                <w:szCs w:val="24"/>
                <w:lang w:eastAsia="zh-CN"/>
              </w:rPr>
              <w:t>；</w:t>
            </w:r>
          </w:p>
          <w:p w14:paraId="15F5E959">
            <w:pP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val="en-US" w:eastAsia="zh-CN"/>
              </w:rPr>
              <w:t>(10)</w:t>
            </w:r>
            <w:r>
              <w:rPr>
                <w:rFonts w:hint="eastAsia" w:ascii="宋体" w:hAnsi="宋体" w:eastAsia="宋体" w:cs="宋体"/>
                <w:sz w:val="24"/>
                <w:szCs w:val="24"/>
              </w:rPr>
              <w:t>系统配套开发手册，开发固件驱动</w:t>
            </w:r>
            <w:r>
              <w:rPr>
                <w:rFonts w:hint="eastAsia" w:ascii="宋体" w:hAnsi="宋体" w:eastAsia="宋体" w:cs="宋体"/>
                <w:sz w:val="24"/>
                <w:szCs w:val="24"/>
                <w:lang w:eastAsia="zh-CN"/>
              </w:rPr>
              <w:t>，</w:t>
            </w:r>
            <w:r>
              <w:rPr>
                <w:rFonts w:hint="eastAsia" w:ascii="宋体" w:hAnsi="宋体" w:eastAsia="宋体" w:cs="宋体"/>
                <w:sz w:val="24"/>
                <w:szCs w:val="24"/>
              </w:rPr>
              <w:t>提供</w:t>
            </w:r>
            <w:r>
              <w:rPr>
                <w:rFonts w:hint="eastAsia" w:ascii="宋体" w:hAnsi="宋体" w:eastAsia="宋体" w:cs="宋体"/>
                <w:sz w:val="24"/>
                <w:szCs w:val="24"/>
                <w:lang w:val="en-US" w:eastAsia="zh-CN"/>
              </w:rPr>
              <w:t>应用</w:t>
            </w:r>
            <w:r>
              <w:rPr>
                <w:rFonts w:hint="eastAsia" w:ascii="宋体" w:hAnsi="宋体" w:eastAsia="宋体" w:cs="宋体"/>
                <w:sz w:val="24"/>
                <w:szCs w:val="24"/>
              </w:rPr>
              <w:t>方案代码</w:t>
            </w:r>
            <w:r>
              <w:rPr>
                <w:rFonts w:hint="eastAsia" w:ascii="宋体" w:hAnsi="宋体" w:eastAsia="宋体" w:cs="宋体"/>
                <w:sz w:val="24"/>
                <w:szCs w:val="24"/>
                <w:lang w:eastAsia="zh-CN"/>
              </w:rPr>
              <w:t>；</w:t>
            </w:r>
          </w:p>
        </w:tc>
      </w:tr>
      <w:tr w14:paraId="4A534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63B9E46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WIFI模组</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78EA0AE3">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）能够将设备通过无线信号连接到互联网，通过无线信号传输数据，实现设备的远程控制和访问；</w:t>
            </w:r>
          </w:p>
          <w:p w14:paraId="580734F1">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）支持同时连接多个设备，不仅提供互联网连接，还能在设备之间传输数据；</w:t>
            </w:r>
          </w:p>
          <w:p w14:paraId="034BC021">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）能够连接各种物联网设备，实现信息的互通，支持多种无线网络加密方式，确保用户数据的安全传输；</w:t>
            </w:r>
          </w:p>
          <w:p w14:paraId="001514E7">
            <w:p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核心：ESP32-D0WDQ6芯片，双核Xtensa® 32位LX6 CPU，频率范围80 MHz至240 MHz可调。</w:t>
            </w:r>
          </w:p>
          <w:p w14:paraId="2FCFDD6E">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内存：448 KB ROM</w:t>
            </w:r>
            <w:r>
              <w:rPr>
                <w:rFonts w:hint="eastAsia" w:ascii="宋体" w:hAnsi="宋体" w:eastAsia="宋体" w:cs="宋体"/>
                <w:sz w:val="24"/>
                <w:szCs w:val="24"/>
                <w:lang w:eastAsia="zh-CN"/>
              </w:rPr>
              <w:t>、</w:t>
            </w:r>
            <w:r>
              <w:rPr>
                <w:rFonts w:hint="eastAsia" w:ascii="宋体" w:hAnsi="宋体" w:eastAsia="宋体" w:cs="宋体"/>
                <w:sz w:val="24"/>
                <w:szCs w:val="24"/>
              </w:rPr>
              <w:t>520 KB SRAM</w:t>
            </w:r>
            <w:r>
              <w:rPr>
                <w:rFonts w:hint="eastAsia" w:ascii="宋体" w:hAnsi="宋体" w:eastAsia="宋体" w:cs="宋体"/>
                <w:sz w:val="24"/>
                <w:szCs w:val="24"/>
                <w:lang w:eastAsia="zh-CN"/>
              </w:rPr>
              <w:t>、</w:t>
            </w:r>
            <w:r>
              <w:rPr>
                <w:rFonts w:hint="eastAsia" w:ascii="宋体" w:hAnsi="宋体" w:eastAsia="宋体" w:cs="宋体"/>
                <w:sz w:val="24"/>
                <w:szCs w:val="24"/>
              </w:rPr>
              <w:t>16 KB RTC SRAM</w:t>
            </w:r>
            <w:r>
              <w:rPr>
                <w:rFonts w:hint="eastAsia" w:ascii="宋体" w:hAnsi="宋体" w:eastAsia="宋体" w:cs="宋体"/>
                <w:sz w:val="24"/>
                <w:szCs w:val="24"/>
                <w:lang w:eastAsia="zh-CN"/>
              </w:rPr>
              <w:t>、</w:t>
            </w:r>
            <w:r>
              <w:rPr>
                <w:rFonts w:hint="eastAsia" w:ascii="宋体" w:hAnsi="宋体" w:eastAsia="宋体" w:cs="宋体"/>
                <w:sz w:val="24"/>
                <w:szCs w:val="24"/>
              </w:rPr>
              <w:t>4 MB QSPI闪存</w:t>
            </w:r>
            <w:r>
              <w:rPr>
                <w:rFonts w:hint="eastAsia" w:ascii="宋体" w:hAnsi="宋体" w:eastAsia="宋体" w:cs="宋体"/>
                <w:sz w:val="24"/>
                <w:szCs w:val="24"/>
                <w:lang w:eastAsia="zh-CN"/>
              </w:rPr>
              <w:t>；</w:t>
            </w:r>
          </w:p>
          <w:p w14:paraId="11A9790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hint="eastAsia" w:ascii="宋体" w:hAnsi="宋体" w:eastAsia="宋体" w:cs="宋体"/>
                <w:sz w:val="24"/>
                <w:szCs w:val="24"/>
              </w:rPr>
              <w:t>Wi-Fi：支持802.11 b/g/n（2.4 GHz），速度高达150 Mbps，支持Wi-Fi多媒体（WMM）、TX/RX AMPDU和立即块确认（Immediate Block ACK）</w:t>
            </w:r>
            <w:r>
              <w:rPr>
                <w:rFonts w:hint="eastAsia" w:ascii="宋体" w:hAnsi="宋体" w:eastAsia="宋体" w:cs="宋体"/>
                <w:sz w:val="24"/>
                <w:szCs w:val="24"/>
                <w:lang w:eastAsia="zh-CN"/>
              </w:rPr>
              <w:t>；</w:t>
            </w:r>
          </w:p>
        </w:tc>
      </w:tr>
      <w:tr w14:paraId="6D0D4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1C7059A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光照传感器模块</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17280C14">
            <w:p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工作电压 3.3V～5V；</w:t>
            </w:r>
          </w:p>
          <w:p w14:paraId="16A72762">
            <w:p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输出形式：DO 数字开关量输出（0 和 1）和 AO 模拟电压输出；</w:t>
            </w:r>
          </w:p>
          <w:p w14:paraId="25BD8D8C">
            <w:pP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产品模块特色：①采用灵敏型光敏电阻传感器；②比较器输出，信号干净，波形好，驱动能力强，超过 15mA；③配可调电位器可调节检测光线亮度④设有固定螺栓孔，方便安装；⑤使用宽电压 LM393 比较器</w:t>
            </w:r>
            <w:r>
              <w:rPr>
                <w:rFonts w:hint="eastAsia" w:ascii="宋体" w:hAnsi="宋体" w:eastAsia="宋体" w:cs="宋体"/>
                <w:sz w:val="24"/>
                <w:szCs w:val="24"/>
                <w:lang w:eastAsia="zh-CN"/>
              </w:rPr>
              <w:t>；</w:t>
            </w:r>
          </w:p>
        </w:tc>
      </w:tr>
      <w:tr w14:paraId="4E007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111970E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烟雾传感器模块</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7E352790">
            <w:p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MQ-2 烟雾气敏电阻传感器模块</w:t>
            </w:r>
          </w:p>
          <w:p w14:paraId="6230CD6B">
            <w:p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主要芯片：MQ-2 烟雾气敏电阻传感器探头；</w:t>
            </w:r>
          </w:p>
          <w:p w14:paraId="6B0DB22A">
            <w:p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工作电压：直流 3-5V；</w:t>
            </w:r>
          </w:p>
          <w:p w14:paraId="1801B9B6">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适用于家庭或工厂的气体泄漏监测装置，适宜于液化气、丁烷、丙烷、甲烷、酒精、氢气、烟雾等监测装置，探测可燃气体、烟雾 300 至 10000ppm 等等</w:t>
            </w:r>
            <w:r>
              <w:rPr>
                <w:rFonts w:hint="eastAsia" w:ascii="宋体" w:hAnsi="宋体" w:eastAsia="宋体" w:cs="宋体"/>
                <w:sz w:val="24"/>
                <w:szCs w:val="24"/>
                <w:lang w:eastAsia="zh-CN"/>
              </w:rPr>
              <w:t>；</w:t>
            </w:r>
          </w:p>
          <w:p w14:paraId="12FEA0BF">
            <w:pP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产品特点为：①具有信号输出指示；②双路信号输出（模拟量输出及 TTL电平输出）；③TTL 输出有效信号为低电平，可接直接接单片机 IO 口；④模拟量输出 0~5V 电压，浓度越高电压越高；⑤对液化气、丁烷、甲烷、烟雾等有较好的灵敏度；⑥使用寿命长、稳定性好；⑦具有快速响应恢复特性</w:t>
            </w:r>
            <w:r>
              <w:rPr>
                <w:rFonts w:hint="eastAsia" w:ascii="宋体" w:hAnsi="宋体" w:eastAsia="宋体" w:cs="宋体"/>
                <w:sz w:val="24"/>
                <w:szCs w:val="24"/>
                <w:lang w:eastAsia="zh-CN"/>
              </w:rPr>
              <w:t>；</w:t>
            </w:r>
          </w:p>
        </w:tc>
      </w:tr>
      <w:tr w14:paraId="248BF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1F50E7F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火焰传感器模块</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7DB80B53">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可以检测火焰或者波长在760纳米~1100纳米范围内的光源</w:t>
            </w:r>
            <w:r>
              <w:rPr>
                <w:rFonts w:hint="eastAsia" w:ascii="宋体" w:hAnsi="宋体" w:eastAsia="宋体" w:cs="宋体"/>
                <w:sz w:val="24"/>
                <w:szCs w:val="24"/>
                <w:lang w:eastAsia="zh-CN"/>
              </w:rPr>
              <w:t>；</w:t>
            </w:r>
          </w:p>
          <w:p w14:paraId="34D283C3">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打火机测试火焰距离为80cm，对火焰越大，测试距离越远</w:t>
            </w:r>
            <w:r>
              <w:rPr>
                <w:rFonts w:hint="eastAsia" w:ascii="宋体" w:hAnsi="宋体" w:eastAsia="宋体" w:cs="宋体"/>
                <w:sz w:val="24"/>
                <w:szCs w:val="24"/>
                <w:lang w:eastAsia="zh-CN"/>
              </w:rPr>
              <w:t>；</w:t>
            </w:r>
          </w:p>
          <w:p w14:paraId="3B5DC176">
            <w:pP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探测角度60度左右，对火焰光谱特别灵敏</w:t>
            </w:r>
            <w:r>
              <w:rPr>
                <w:rFonts w:hint="eastAsia" w:ascii="宋体" w:hAnsi="宋体" w:eastAsia="宋体" w:cs="宋体"/>
                <w:sz w:val="24"/>
                <w:szCs w:val="24"/>
                <w:lang w:eastAsia="zh-CN"/>
              </w:rPr>
              <w:t>；</w:t>
            </w:r>
          </w:p>
        </w:tc>
      </w:tr>
      <w:tr w14:paraId="7AFB5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494090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继电器模块</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11339C20">
            <w:p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模块常开接口大负载：交流250V/10A，直流30V/10A；</w:t>
            </w:r>
          </w:p>
          <w:p w14:paraId="1E47F396">
            <w:p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模块工作电压有5V；</w:t>
            </w:r>
          </w:p>
          <w:p w14:paraId="0CCD322F">
            <w:p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模块可以通过跳线设置高电平或低电平触发；</w:t>
            </w:r>
          </w:p>
          <w:p w14:paraId="1FF5769E">
            <w:p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容错设计，即使控制线断，继电器也不会动作；</w:t>
            </w:r>
          </w:p>
          <w:p w14:paraId="05430608">
            <w:p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电源指示灯（绿色），继电器状态指示灯（红色）；</w:t>
            </w:r>
          </w:p>
          <w:p w14:paraId="64304978">
            <w:pP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hint="eastAsia" w:ascii="宋体" w:hAnsi="宋体" w:eastAsia="宋体" w:cs="宋体"/>
                <w:sz w:val="24"/>
                <w:szCs w:val="24"/>
              </w:rPr>
              <w:t>高低电平触发选择端：跳线与LOW短接时为低电平触发</w:t>
            </w:r>
            <w:r>
              <w:rPr>
                <w:rFonts w:hint="eastAsia" w:ascii="宋体" w:hAnsi="宋体" w:eastAsia="宋体" w:cs="宋体"/>
                <w:sz w:val="24"/>
                <w:szCs w:val="24"/>
                <w:lang w:eastAsia="zh-CN"/>
              </w:rPr>
              <w:t>，</w:t>
            </w:r>
            <w:r>
              <w:rPr>
                <w:rFonts w:hint="eastAsia" w:ascii="宋体" w:hAnsi="宋体" w:eastAsia="宋体" w:cs="宋体"/>
                <w:sz w:val="24"/>
                <w:szCs w:val="24"/>
              </w:rPr>
              <w:t>跳线与high短接时为高电平触发</w:t>
            </w:r>
            <w:r>
              <w:rPr>
                <w:rFonts w:hint="eastAsia" w:ascii="宋体" w:hAnsi="宋体" w:eastAsia="宋体" w:cs="宋体"/>
                <w:sz w:val="24"/>
                <w:szCs w:val="24"/>
                <w:lang w:eastAsia="zh-CN"/>
              </w:rPr>
              <w:t>；</w:t>
            </w:r>
          </w:p>
        </w:tc>
      </w:tr>
      <w:tr w14:paraId="2E6CC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0ADF04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激光测距传感器模块</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18C14FD0">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1</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支持各种功能，如创新用户界面的手势感测、接近检测、障碍物探测与防撞等</w:t>
            </w:r>
            <w:r>
              <w:rPr>
                <w:rFonts w:hint="eastAsia" w:ascii="宋体" w:hAnsi="宋体" w:eastAsia="宋体" w:cs="宋体"/>
                <w:i w:val="0"/>
                <w:iCs w:val="0"/>
                <w:color w:val="000000"/>
                <w:sz w:val="24"/>
                <w:szCs w:val="24"/>
                <w:u w:val="none"/>
                <w:lang w:eastAsia="zh-CN"/>
              </w:rPr>
              <w:t>；</w:t>
            </w:r>
          </w:p>
          <w:p w14:paraId="414F80F9">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2</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输出PWM信号，高电平持续时间对应检测距离</w:t>
            </w:r>
            <w:r>
              <w:rPr>
                <w:rFonts w:hint="eastAsia" w:ascii="宋体" w:hAnsi="宋体" w:eastAsia="宋体" w:cs="宋体"/>
                <w:i w:val="0"/>
                <w:iCs w:val="0"/>
                <w:color w:val="000000"/>
                <w:sz w:val="24"/>
                <w:szCs w:val="24"/>
                <w:u w:val="none"/>
                <w:lang w:eastAsia="zh-CN"/>
              </w:rPr>
              <w:t>；</w:t>
            </w:r>
          </w:p>
          <w:p w14:paraId="63213E2A">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3</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环境适应性：能在一定范围内的工作环境温度和保存温度下稳定工作，且具有一定的抗环境光干扰能力</w:t>
            </w:r>
            <w:r>
              <w:rPr>
                <w:rFonts w:hint="eastAsia" w:ascii="宋体" w:hAnsi="宋体" w:eastAsia="宋体" w:cs="宋体"/>
                <w:i w:val="0"/>
                <w:iCs w:val="0"/>
                <w:color w:val="000000"/>
                <w:sz w:val="24"/>
                <w:szCs w:val="24"/>
                <w:u w:val="none"/>
                <w:lang w:eastAsia="zh-CN"/>
              </w:rPr>
              <w:t>；</w:t>
            </w:r>
          </w:p>
          <w:p w14:paraId="51B916D8">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4</w:t>
            </w:r>
            <w:r>
              <w:rPr>
                <w:rFonts w:hint="eastAsia" w:ascii="宋体" w:hAnsi="宋体" w:eastAsia="宋体" w:cs="宋体"/>
                <w:i w:val="0"/>
                <w:iCs w:val="0"/>
                <w:color w:val="000000"/>
                <w:sz w:val="24"/>
                <w:szCs w:val="24"/>
                <w:u w:val="none"/>
                <w:lang w:eastAsia="zh-CN"/>
              </w:rPr>
              <w:t>）测量范围：10mm至300mm；</w:t>
            </w:r>
          </w:p>
          <w:p w14:paraId="10AA39AB">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5</w:t>
            </w:r>
            <w:r>
              <w:rPr>
                <w:rFonts w:hint="eastAsia" w:ascii="宋体" w:hAnsi="宋体" w:eastAsia="宋体" w:cs="宋体"/>
                <w:i w:val="0"/>
                <w:iCs w:val="0"/>
                <w:color w:val="000000"/>
                <w:sz w:val="24"/>
                <w:szCs w:val="24"/>
                <w:u w:val="none"/>
                <w:lang w:eastAsia="zh-CN"/>
              </w:rPr>
              <w:t>）分辨率：可达1mm，提供高精度的测量结果；</w:t>
            </w:r>
          </w:p>
          <w:p w14:paraId="5DA57DD7">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6</w:t>
            </w:r>
            <w:r>
              <w:rPr>
                <w:rFonts w:hint="eastAsia" w:ascii="宋体" w:hAnsi="宋体" w:eastAsia="宋体" w:cs="宋体"/>
                <w:i w:val="0"/>
                <w:iCs w:val="0"/>
                <w:color w:val="000000"/>
                <w:sz w:val="24"/>
                <w:szCs w:val="24"/>
                <w:u w:val="none"/>
                <w:lang w:eastAsia="zh-CN"/>
              </w:rPr>
              <w:t>）工作电压：5V或3.3V（具体取决于应用需求）；</w:t>
            </w:r>
          </w:p>
          <w:p w14:paraId="153B7EA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7</w:t>
            </w:r>
            <w:r>
              <w:rPr>
                <w:rFonts w:hint="eastAsia" w:ascii="宋体" w:hAnsi="宋体" w:eastAsia="宋体" w:cs="宋体"/>
                <w:i w:val="0"/>
                <w:iCs w:val="0"/>
                <w:color w:val="000000"/>
                <w:sz w:val="24"/>
                <w:szCs w:val="24"/>
                <w:u w:val="none"/>
                <w:lang w:eastAsia="zh-CN"/>
              </w:rPr>
              <w:t>）接口类型：I2C或SPI，方便与微控制器或其他数字设备通信；</w:t>
            </w:r>
          </w:p>
        </w:tc>
      </w:tr>
      <w:tr w14:paraId="648A3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3D5C34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触摸传感器模块</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31AC0998">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1</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工作电压：2.0V~5.5V</w:t>
            </w:r>
            <w:r>
              <w:rPr>
                <w:rFonts w:hint="eastAsia" w:ascii="宋体" w:hAnsi="宋体" w:eastAsia="宋体" w:cs="宋体"/>
                <w:i w:val="0"/>
                <w:iCs w:val="0"/>
                <w:color w:val="000000"/>
                <w:sz w:val="24"/>
                <w:szCs w:val="24"/>
                <w:u w:val="none"/>
                <w:lang w:eastAsia="zh-CN"/>
              </w:rPr>
              <w:t>；</w:t>
            </w:r>
          </w:p>
          <w:p w14:paraId="394CD7B4">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2</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工作电流：在VDD=3V时，典型值为80uA，最大值为160uA</w:t>
            </w:r>
            <w:r>
              <w:rPr>
                <w:rFonts w:hint="eastAsia" w:ascii="宋体" w:hAnsi="宋体" w:eastAsia="宋体" w:cs="宋体"/>
                <w:i w:val="0"/>
                <w:iCs w:val="0"/>
                <w:color w:val="000000"/>
                <w:sz w:val="24"/>
                <w:szCs w:val="24"/>
                <w:u w:val="none"/>
                <w:lang w:eastAsia="zh-CN"/>
              </w:rPr>
              <w:t>；</w:t>
            </w:r>
          </w:p>
          <w:p w14:paraId="41EAB923">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3</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输出刷新率：在VDD=3V时约55Hz</w:t>
            </w:r>
            <w:r>
              <w:rPr>
                <w:rFonts w:hint="eastAsia" w:ascii="宋体" w:hAnsi="宋体" w:eastAsia="宋体" w:cs="宋体"/>
                <w:i w:val="0"/>
                <w:iCs w:val="0"/>
                <w:color w:val="000000"/>
                <w:sz w:val="24"/>
                <w:szCs w:val="24"/>
                <w:u w:val="none"/>
                <w:lang w:eastAsia="zh-CN"/>
              </w:rPr>
              <w:t>；</w:t>
            </w:r>
          </w:p>
          <w:p w14:paraId="3414C83D">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4</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灵敏度选择：具有64阶可选灵敏度，通过SLSE0~5管脚选项进行调节。另外提供2种基阶（base-step）通过OPST管脚选项进行选择</w:t>
            </w:r>
            <w:r>
              <w:rPr>
                <w:rFonts w:hint="eastAsia" w:ascii="宋体" w:hAnsi="宋体" w:eastAsia="宋体" w:cs="宋体"/>
                <w:i w:val="0"/>
                <w:iCs w:val="0"/>
                <w:color w:val="000000"/>
                <w:sz w:val="24"/>
                <w:szCs w:val="24"/>
                <w:u w:val="none"/>
                <w:lang w:eastAsia="zh-CN"/>
              </w:rPr>
              <w:t>；</w:t>
            </w:r>
          </w:p>
          <w:p w14:paraId="19AABCA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5</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多种工作模式：提供直接（direct）模式、矩阵（matrix）模式和串行（serial）模式</w:t>
            </w:r>
            <w:r>
              <w:rPr>
                <w:rFonts w:hint="eastAsia" w:ascii="宋体" w:hAnsi="宋体" w:eastAsia="宋体" w:cs="宋体"/>
                <w:i w:val="0"/>
                <w:iCs w:val="0"/>
                <w:color w:val="000000"/>
                <w:sz w:val="24"/>
                <w:szCs w:val="24"/>
                <w:u w:val="none"/>
                <w:lang w:eastAsia="zh-CN"/>
              </w:rPr>
              <w:t>；</w:t>
            </w:r>
          </w:p>
        </w:tc>
      </w:tr>
      <w:tr w14:paraId="36814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08E9BA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STM32模块</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2A5276E7">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配备</w:t>
            </w:r>
            <w:r>
              <w:rPr>
                <w:rFonts w:hint="eastAsia" w:ascii="宋体" w:hAnsi="宋体" w:eastAsia="宋体" w:cs="宋体"/>
                <w:sz w:val="24"/>
                <w:szCs w:val="24"/>
                <w:lang w:eastAsia="zh-CN"/>
              </w:rPr>
              <w:t>高性能的处理器和丰富的外设接口，能够实现对</w:t>
            </w:r>
            <w:r>
              <w:rPr>
                <w:rFonts w:hint="eastAsia" w:ascii="宋体" w:hAnsi="宋体" w:eastAsia="宋体" w:cs="宋体"/>
                <w:sz w:val="24"/>
                <w:szCs w:val="24"/>
                <w:lang w:val="en-US" w:eastAsia="zh-CN"/>
              </w:rPr>
              <w:t>无线通信模块数据</w:t>
            </w:r>
            <w:r>
              <w:rPr>
                <w:rFonts w:hint="eastAsia" w:ascii="宋体" w:hAnsi="宋体" w:eastAsia="宋体" w:cs="宋体"/>
                <w:sz w:val="24"/>
                <w:szCs w:val="24"/>
                <w:lang w:eastAsia="zh-CN"/>
              </w:rPr>
              <w:t>的快速处理和实时响应，提高系统的整体性能和稳定性；</w:t>
            </w:r>
          </w:p>
          <w:p w14:paraId="46BAD757">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）集成了多种外设接口，包括USB、SPI、I2C、USART等，这些接口使得开发板能够方便地与读写器以及其他外部设备进行通信和数据传输；</w:t>
            </w:r>
          </w:p>
          <w:p w14:paraId="2D78CE59">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）提供了完善的开发工具和支持库，可以利用这些资源快速地进行</w:t>
            </w:r>
            <w:r>
              <w:rPr>
                <w:rFonts w:hint="eastAsia" w:ascii="宋体" w:hAnsi="宋体" w:eastAsia="宋体" w:cs="宋体"/>
                <w:sz w:val="24"/>
                <w:szCs w:val="24"/>
                <w:lang w:val="en-US" w:eastAsia="zh-CN"/>
              </w:rPr>
              <w:t>无线传感网实验实训</w:t>
            </w:r>
            <w:r>
              <w:rPr>
                <w:rFonts w:hint="eastAsia" w:ascii="宋体" w:hAnsi="宋体" w:eastAsia="宋体" w:cs="宋体"/>
                <w:sz w:val="24"/>
                <w:szCs w:val="24"/>
                <w:lang w:eastAsia="zh-CN"/>
              </w:rPr>
              <w:t>和软件开发；</w:t>
            </w:r>
          </w:p>
          <w:p w14:paraId="5DEDF4ED">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采用意法半导体原装芯片，质量保证，稳定可靠。采用美信半导体原装RS485,RS232通信芯片参数优异，稳定性好。RS232、RS485信号集成双向TVS二极管保护可承受外部设备对信号的高能量瞬态冲击</w:t>
            </w:r>
            <w:r>
              <w:rPr>
                <w:rFonts w:hint="eastAsia" w:ascii="宋体" w:hAnsi="宋体" w:eastAsia="宋体" w:cs="宋体"/>
                <w:sz w:val="24"/>
                <w:szCs w:val="24"/>
                <w:lang w:eastAsia="zh-CN"/>
              </w:rPr>
              <w:t>；</w:t>
            </w:r>
          </w:p>
          <w:p w14:paraId="375FAFA1">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接 口: Type-c型USB接口1路，独立带卡扣端子接口1路</w:t>
            </w:r>
            <w:r>
              <w:rPr>
                <w:rFonts w:hint="eastAsia" w:ascii="宋体" w:hAnsi="宋体" w:eastAsia="宋体" w:cs="宋体"/>
                <w:sz w:val="24"/>
                <w:szCs w:val="24"/>
                <w:lang w:eastAsia="zh-CN"/>
              </w:rPr>
              <w:t>；</w:t>
            </w:r>
          </w:p>
          <w:p w14:paraId="75A994B7">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hint="eastAsia" w:ascii="宋体" w:hAnsi="宋体" w:eastAsia="宋体" w:cs="宋体"/>
                <w:sz w:val="24"/>
                <w:szCs w:val="24"/>
              </w:rPr>
              <w:t>供电电压:5.0VDC，供电电流:&lt;100mA</w:t>
            </w:r>
            <w:r>
              <w:rPr>
                <w:rFonts w:hint="eastAsia" w:ascii="宋体" w:hAnsi="宋体" w:eastAsia="宋体" w:cs="宋体"/>
                <w:sz w:val="24"/>
                <w:szCs w:val="24"/>
                <w:lang w:eastAsia="zh-CN"/>
              </w:rPr>
              <w:t>；</w:t>
            </w:r>
          </w:p>
          <w:p w14:paraId="729D898D">
            <w:p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w:t>
            </w:r>
            <w:r>
              <w:rPr>
                <w:rFonts w:hint="eastAsia" w:ascii="宋体" w:hAnsi="宋体" w:eastAsia="宋体" w:cs="宋体"/>
                <w:sz w:val="24"/>
                <w:szCs w:val="24"/>
              </w:rPr>
              <w:t>芯片型号:STM32F103RCT6</w:t>
            </w:r>
            <w:r>
              <w:rPr>
                <w:rFonts w:hint="eastAsia" w:ascii="宋体" w:hAnsi="宋体" w:eastAsia="宋体" w:cs="宋体"/>
                <w:sz w:val="24"/>
                <w:szCs w:val="24"/>
                <w:lang w:eastAsia="zh-CN"/>
              </w:rPr>
              <w:t>、</w:t>
            </w:r>
            <w:r>
              <w:rPr>
                <w:rFonts w:hint="eastAsia" w:ascii="宋体" w:hAnsi="宋体" w:eastAsia="宋体" w:cs="宋体"/>
                <w:sz w:val="24"/>
                <w:szCs w:val="24"/>
              </w:rPr>
              <w:t>内核: Cortex-M3</w:t>
            </w:r>
            <w:r>
              <w:rPr>
                <w:rFonts w:hint="eastAsia" w:ascii="宋体" w:hAnsi="宋体" w:eastAsia="宋体" w:cs="宋体"/>
                <w:sz w:val="24"/>
                <w:szCs w:val="24"/>
                <w:lang w:eastAsia="zh-CN"/>
              </w:rPr>
              <w:t>、</w:t>
            </w:r>
            <w:r>
              <w:rPr>
                <w:rFonts w:hint="eastAsia" w:ascii="宋体" w:hAnsi="宋体" w:eastAsia="宋体" w:cs="宋体"/>
                <w:sz w:val="24"/>
                <w:szCs w:val="24"/>
              </w:rPr>
              <w:t>最大工作频率:72MHz</w:t>
            </w:r>
            <w:r>
              <w:rPr>
                <w:rFonts w:hint="eastAsia" w:ascii="宋体" w:hAnsi="宋体" w:eastAsia="宋体" w:cs="宋体"/>
                <w:sz w:val="24"/>
                <w:szCs w:val="24"/>
                <w:lang w:eastAsia="zh-CN"/>
              </w:rPr>
              <w:t>、</w:t>
            </w:r>
            <w:r>
              <w:rPr>
                <w:rFonts w:hint="eastAsia" w:ascii="宋体" w:hAnsi="宋体" w:eastAsia="宋体" w:cs="宋体"/>
                <w:sz w:val="24"/>
                <w:szCs w:val="24"/>
              </w:rPr>
              <w:t>主晶振频率:8MHz</w:t>
            </w:r>
          </w:p>
          <w:p w14:paraId="0B414B94">
            <w:pPr>
              <w:rPr>
                <w:rFonts w:hint="eastAsia" w:ascii="宋体" w:hAnsi="宋体" w:eastAsia="宋体" w:cs="宋体"/>
                <w:sz w:val="24"/>
                <w:szCs w:val="24"/>
                <w:lang w:eastAsia="zh-CN"/>
              </w:rPr>
            </w:pPr>
            <w:r>
              <w:rPr>
                <w:rFonts w:hint="eastAsia" w:ascii="宋体" w:hAnsi="宋体" w:eastAsia="宋体" w:cs="宋体"/>
                <w:sz w:val="24"/>
                <w:szCs w:val="24"/>
              </w:rPr>
              <w:t>RTC晶振频率:32.768KHz</w:t>
            </w:r>
            <w:r>
              <w:rPr>
                <w:rFonts w:hint="eastAsia" w:ascii="宋体" w:hAnsi="宋体" w:eastAsia="宋体" w:cs="宋体"/>
                <w:sz w:val="24"/>
                <w:szCs w:val="24"/>
                <w:lang w:eastAsia="zh-CN"/>
              </w:rPr>
              <w:t>、</w:t>
            </w:r>
            <w:r>
              <w:rPr>
                <w:rFonts w:hint="eastAsia" w:ascii="宋体" w:hAnsi="宋体" w:eastAsia="宋体" w:cs="宋体"/>
                <w:sz w:val="24"/>
                <w:szCs w:val="24"/>
              </w:rPr>
              <w:t>RAM资源:48 KBytes</w:t>
            </w:r>
            <w:r>
              <w:rPr>
                <w:rFonts w:hint="eastAsia" w:ascii="宋体" w:hAnsi="宋体" w:eastAsia="宋体" w:cs="宋体"/>
                <w:sz w:val="24"/>
                <w:szCs w:val="24"/>
                <w:lang w:eastAsia="zh-CN"/>
              </w:rPr>
              <w:t>、</w:t>
            </w:r>
            <w:r>
              <w:rPr>
                <w:rFonts w:hint="eastAsia" w:ascii="宋体" w:hAnsi="宋体" w:eastAsia="宋体" w:cs="宋体"/>
                <w:sz w:val="24"/>
                <w:szCs w:val="24"/>
              </w:rPr>
              <w:t>FLASH资源:258 KBytes</w:t>
            </w:r>
            <w:r>
              <w:rPr>
                <w:rFonts w:hint="eastAsia" w:ascii="宋体" w:hAnsi="宋体" w:eastAsia="宋体" w:cs="宋体"/>
                <w:sz w:val="24"/>
                <w:szCs w:val="24"/>
                <w:lang w:eastAsia="zh-CN"/>
              </w:rPr>
              <w:t>、</w:t>
            </w:r>
            <w:r>
              <w:rPr>
                <w:rFonts w:hint="eastAsia" w:ascii="宋体" w:hAnsi="宋体" w:eastAsia="宋体" w:cs="宋体"/>
                <w:sz w:val="24"/>
                <w:szCs w:val="24"/>
              </w:rPr>
              <w:t>SPI3路,UART5路</w:t>
            </w:r>
            <w:r>
              <w:rPr>
                <w:rFonts w:hint="eastAsia" w:ascii="宋体" w:hAnsi="宋体" w:eastAsia="宋体" w:cs="宋体"/>
                <w:sz w:val="24"/>
                <w:szCs w:val="24"/>
                <w:lang w:eastAsia="zh-CN"/>
              </w:rPr>
              <w:t>、</w:t>
            </w:r>
            <w:r>
              <w:rPr>
                <w:rFonts w:hint="eastAsia" w:ascii="宋体" w:hAnsi="宋体" w:eastAsia="宋体" w:cs="宋体"/>
                <w:sz w:val="24"/>
                <w:szCs w:val="24"/>
              </w:rPr>
              <w:t>IIC 2路,CAN 1路</w:t>
            </w:r>
            <w:r>
              <w:rPr>
                <w:rFonts w:hint="eastAsia" w:ascii="宋体" w:hAnsi="宋体" w:eastAsia="宋体" w:cs="宋体"/>
                <w:sz w:val="24"/>
                <w:szCs w:val="24"/>
                <w:lang w:eastAsia="zh-CN"/>
              </w:rPr>
              <w:t>；</w:t>
            </w:r>
          </w:p>
          <w:p w14:paraId="5A346893">
            <w:pPr>
              <w:rPr>
                <w:rFonts w:hint="eastAsia" w:ascii="宋体" w:hAnsi="宋体" w:eastAsia="宋体" w:cs="宋体"/>
                <w:i w:val="0"/>
                <w:iCs w:val="0"/>
                <w:color w:val="000000"/>
                <w:sz w:val="24"/>
                <w:szCs w:val="24"/>
                <w:u w:val="none"/>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w:t>
            </w:r>
            <w:r>
              <w:rPr>
                <w:rFonts w:hint="eastAsia" w:ascii="宋体" w:hAnsi="宋体" w:eastAsia="宋体" w:cs="宋体"/>
                <w:sz w:val="24"/>
                <w:szCs w:val="24"/>
              </w:rPr>
              <w:t>USB通信:USB2.0接口与PCB通信</w:t>
            </w:r>
            <w:r>
              <w:rPr>
                <w:rFonts w:hint="eastAsia" w:ascii="宋体" w:hAnsi="宋体" w:eastAsia="宋体" w:cs="宋体"/>
                <w:sz w:val="24"/>
                <w:szCs w:val="24"/>
                <w:lang w:eastAsia="zh-CN"/>
              </w:rPr>
              <w:t>；</w:t>
            </w:r>
          </w:p>
        </w:tc>
      </w:tr>
      <w:tr w14:paraId="45A71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14D6B8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心率脉搏传感器模块</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64200E30">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1</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数据采集：微控制器或数字信号处理器负责从信号处理模块接收数字信号，并进行数据采集</w:t>
            </w:r>
            <w:r>
              <w:rPr>
                <w:rFonts w:hint="eastAsia" w:ascii="宋体" w:hAnsi="宋体" w:eastAsia="宋体" w:cs="宋体"/>
                <w:i w:val="0"/>
                <w:iCs w:val="0"/>
                <w:color w:val="000000"/>
                <w:sz w:val="24"/>
                <w:szCs w:val="24"/>
                <w:u w:val="none"/>
                <w:lang w:eastAsia="zh-CN"/>
              </w:rPr>
              <w:t>；</w:t>
            </w:r>
          </w:p>
          <w:p w14:paraId="1C397798">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2</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算法处理：采集到的数据需要通过特定的算法进行处理，以计算出心率和脉搏值。这些算法通常基于血红蛋白对红光和红外光的吸收特性，以及反射光信号的周期性变化</w:t>
            </w:r>
            <w:r>
              <w:rPr>
                <w:rFonts w:hint="eastAsia" w:ascii="宋体" w:hAnsi="宋体" w:eastAsia="宋体" w:cs="宋体"/>
                <w:i w:val="0"/>
                <w:iCs w:val="0"/>
                <w:color w:val="000000"/>
                <w:sz w:val="24"/>
                <w:szCs w:val="24"/>
                <w:u w:val="none"/>
                <w:lang w:eastAsia="zh-CN"/>
              </w:rPr>
              <w:t>；</w:t>
            </w:r>
          </w:p>
          <w:p w14:paraId="268C37F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3</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通信接口：微控制器或数字信号处理器还具备通信接口，如I2C、SPI等，用于将计算出的心率和脉搏值传输给其他设备或系统进行进一步的分析和应用</w:t>
            </w:r>
            <w:r>
              <w:rPr>
                <w:rFonts w:hint="eastAsia" w:ascii="宋体" w:hAnsi="宋体" w:eastAsia="宋体" w:cs="宋体"/>
                <w:i w:val="0"/>
                <w:iCs w:val="0"/>
                <w:color w:val="000000"/>
                <w:sz w:val="24"/>
                <w:szCs w:val="24"/>
                <w:u w:val="none"/>
                <w:lang w:eastAsia="zh-CN"/>
              </w:rPr>
              <w:t>；</w:t>
            </w:r>
          </w:p>
        </w:tc>
      </w:tr>
      <w:tr w14:paraId="46771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270E33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人体红外传感器模块</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6682B92D">
            <w:p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主要芯片：人体热释电红外传感器BISS0001 芯片；</w:t>
            </w:r>
          </w:p>
          <w:p w14:paraId="37B1C095">
            <w:p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工作电压：直流 4.5～ 20V；</w:t>
            </w:r>
          </w:p>
          <w:p w14:paraId="37328AB6">
            <w:pPr>
              <w:rPr>
                <w:rFonts w:hint="eastAsia" w:ascii="宋体" w:hAnsi="宋体" w:eastAsia="宋体" w:cs="宋体"/>
                <w:i w:val="0"/>
                <w:iCs w:val="0"/>
                <w:color w:val="000000"/>
                <w:sz w:val="24"/>
                <w:szCs w:val="24"/>
                <w:u w:val="none"/>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主要应用：楼道、走廊、卫生间、地下室、仓库、车库等场所的自动照明、 排气扇的自动抽风以及其他电器（白炽灯、荧光灯、蜂鸣器、自动门、电风扇、 烘干机和自动洗衣机），特别适用于企业、宾馆、商场、库房敏感区或安全区和 报警系统，还可用于防盗等用途</w:t>
            </w:r>
            <w:r>
              <w:rPr>
                <w:rFonts w:hint="eastAsia" w:ascii="宋体" w:hAnsi="宋体" w:eastAsia="宋体" w:cs="宋体"/>
                <w:sz w:val="24"/>
                <w:szCs w:val="24"/>
                <w:lang w:eastAsia="zh-CN"/>
              </w:rPr>
              <w:t>；</w:t>
            </w:r>
          </w:p>
        </w:tc>
      </w:tr>
      <w:tr w14:paraId="65628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0EA96E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摇杆模块</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4A28CD96">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w:t>
            </w:r>
            <w:r>
              <w:rPr>
                <w:rFonts w:hint="eastAsia" w:ascii="宋体" w:hAnsi="宋体" w:eastAsia="宋体" w:cs="宋体"/>
                <w:i w:val="0"/>
                <w:iCs w:val="0"/>
                <w:color w:val="000000"/>
                <w:sz w:val="24"/>
                <w:szCs w:val="24"/>
                <w:u w:val="none"/>
              </w:rPr>
              <w:t>模块具有X、Y两轴模拟输出，可以输出连续的模拟信号，代表操纵杆在X、Y方向上的偏移量</w:t>
            </w:r>
            <w:r>
              <w:rPr>
                <w:rFonts w:hint="eastAsia" w:ascii="宋体" w:hAnsi="宋体" w:eastAsia="宋体" w:cs="宋体"/>
                <w:i w:val="0"/>
                <w:iCs w:val="0"/>
                <w:color w:val="000000"/>
                <w:sz w:val="24"/>
                <w:szCs w:val="24"/>
                <w:u w:val="none"/>
                <w:lang w:val="en-US" w:eastAsia="zh-CN"/>
              </w:rPr>
              <w:t>;</w:t>
            </w:r>
          </w:p>
          <w:p w14:paraId="64D1C8E2">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w:t>
            </w:r>
            <w:r>
              <w:rPr>
                <w:rFonts w:hint="eastAsia" w:ascii="宋体" w:hAnsi="宋体" w:eastAsia="宋体" w:cs="宋体"/>
                <w:i w:val="0"/>
                <w:iCs w:val="0"/>
                <w:color w:val="000000"/>
                <w:sz w:val="24"/>
                <w:szCs w:val="24"/>
                <w:u w:val="none"/>
              </w:rPr>
              <w:t>除了X、Y轴外，模块还具有一个Z轴的数字输出，用于检测操纵杆上的按钮是否被按下</w:t>
            </w:r>
            <w:r>
              <w:rPr>
                <w:rFonts w:hint="eastAsia" w:ascii="宋体" w:hAnsi="宋体" w:eastAsia="宋体" w:cs="宋体"/>
                <w:i w:val="0"/>
                <w:iCs w:val="0"/>
                <w:color w:val="000000"/>
                <w:sz w:val="24"/>
                <w:szCs w:val="24"/>
                <w:u w:val="none"/>
                <w:lang w:val="en-US" w:eastAsia="zh-CN"/>
              </w:rPr>
              <w:t>;</w:t>
            </w:r>
          </w:p>
          <w:p w14:paraId="15BA50D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(3)PS2双轴XY操纵杆控制杆传感器模块广泛应用于游戏手柄、小车摇杆控制、飞行器摇杆控制等领域。通过编程和接口设计，可以实现各种复杂的控制功能;</w:t>
            </w:r>
          </w:p>
        </w:tc>
      </w:tr>
      <w:tr w14:paraId="73A42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38832E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震动传感器模块</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697D5499">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2"/>
                <w:sz w:val="24"/>
                <w:szCs w:val="24"/>
                <w:lang w:val="en-US" w:eastAsia="zh-CN" w:bidi="ar-SA"/>
              </w:rPr>
              <w:t>(1)</w:t>
            </w:r>
            <w:r>
              <w:rPr>
                <w:rFonts w:hint="eastAsia" w:ascii="宋体" w:hAnsi="宋体" w:eastAsia="宋体" w:cs="宋体"/>
                <w:i w:val="0"/>
                <w:iCs w:val="0"/>
                <w:color w:val="000000"/>
                <w:sz w:val="24"/>
                <w:szCs w:val="24"/>
                <w:u w:val="none"/>
              </w:rPr>
              <w:t>压电震动敲击传感器模块的工作原理基于正压电效应，即某些材料在沿一定方向受到外力作用而变形时，会同时在其两个相对表面上出现正负相反的等量电荷，且电荷量与施加外力的大小成正比。当外力去掉后，材料又会恢复到不带电的状态</w:t>
            </w:r>
            <w:r>
              <w:rPr>
                <w:rFonts w:hint="eastAsia" w:ascii="宋体" w:hAnsi="宋体" w:eastAsia="宋体" w:cs="宋体"/>
                <w:i w:val="0"/>
                <w:iCs w:val="0"/>
                <w:color w:val="000000"/>
                <w:sz w:val="24"/>
                <w:szCs w:val="24"/>
                <w:u w:val="none"/>
                <w:lang w:val="en-US" w:eastAsia="zh-CN"/>
              </w:rPr>
              <w:t>;</w:t>
            </w:r>
          </w:p>
          <w:p w14:paraId="6C999994">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2"/>
                <w:sz w:val="24"/>
                <w:szCs w:val="24"/>
                <w:lang w:val="en-US" w:eastAsia="zh-CN" w:bidi="ar-SA"/>
              </w:rPr>
              <w:t>(2)</w:t>
            </w:r>
            <w:r>
              <w:rPr>
                <w:rFonts w:hint="eastAsia" w:ascii="宋体" w:hAnsi="宋体" w:eastAsia="宋体" w:cs="宋体"/>
                <w:i w:val="0"/>
                <w:iCs w:val="0"/>
                <w:color w:val="000000"/>
                <w:sz w:val="24"/>
                <w:szCs w:val="24"/>
                <w:u w:val="none"/>
              </w:rPr>
              <w:t>当感受到外界振动或敲击（即外力呈周期性变化或瞬时冲击）时，压电敏感元件表面的电荷亦呈现周期性变化或瞬时变化，且变化频率与振动频率或敲击特性一致。通过对压电敏感元件表面电荷信号的采集和测量，即可实现振动或敲击测量的目的。</w:t>
            </w:r>
          </w:p>
        </w:tc>
      </w:tr>
      <w:tr w14:paraId="6813C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05ED78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NFC-RFID模块</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71756EF3">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w:t>
            </w:r>
            <w:r>
              <w:rPr>
                <w:rFonts w:hint="eastAsia" w:ascii="宋体" w:hAnsi="宋体" w:eastAsia="宋体" w:cs="宋体"/>
                <w:i w:val="0"/>
                <w:iCs w:val="0"/>
                <w:color w:val="000000"/>
                <w:sz w:val="24"/>
                <w:szCs w:val="24"/>
                <w:u w:val="none"/>
              </w:rPr>
              <w:t>支持 SP1、12C 和 UART 接口的选择切换有效通信距离在5厘米之内</w:t>
            </w:r>
            <w:r>
              <w:rPr>
                <w:rFonts w:hint="eastAsia" w:ascii="宋体" w:hAnsi="宋体" w:eastAsia="宋体" w:cs="宋体"/>
                <w:i w:val="0"/>
                <w:iCs w:val="0"/>
                <w:color w:val="000000"/>
                <w:sz w:val="24"/>
                <w:szCs w:val="24"/>
                <w:u w:val="none"/>
                <w:lang w:val="en-US" w:eastAsia="zh-CN"/>
              </w:rPr>
              <w:t>;</w:t>
            </w:r>
          </w:p>
          <w:p w14:paraId="5357CD73">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w:t>
            </w:r>
            <w:r>
              <w:rPr>
                <w:rFonts w:hint="eastAsia" w:ascii="宋体" w:hAnsi="宋体" w:eastAsia="宋体" w:cs="宋体"/>
                <w:i w:val="0"/>
                <w:iCs w:val="0"/>
                <w:color w:val="000000"/>
                <w:sz w:val="24"/>
                <w:szCs w:val="24"/>
                <w:u w:val="none"/>
              </w:rPr>
              <w:t>可用于 13.56MHz 的非接触式通信兼容 ISO14443 TypeA和 Type B标准工作电压 3.3V电源电压 3.3V-5.5V</w:t>
            </w:r>
            <w:r>
              <w:rPr>
                <w:rFonts w:hint="eastAsia" w:ascii="宋体" w:hAnsi="宋体" w:eastAsia="宋体" w:cs="宋体"/>
                <w:i w:val="0"/>
                <w:iCs w:val="0"/>
                <w:color w:val="000000"/>
                <w:sz w:val="24"/>
                <w:szCs w:val="24"/>
                <w:u w:val="none"/>
                <w:lang w:val="en-US" w:eastAsia="zh-CN"/>
              </w:rPr>
              <w:t>;</w:t>
            </w:r>
          </w:p>
          <w:p w14:paraId="052D5700">
            <w:pPr>
              <w:pStyle w:val="1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i w:val="0"/>
                <w:iCs w:val="0"/>
                <w:color w:val="000000"/>
                <w:kern w:val="2"/>
                <w:sz w:val="24"/>
                <w:szCs w:val="24"/>
                <w:u w:val="none"/>
                <w:lang w:val="en-US" w:eastAsia="zh-CN" w:bidi="ar-SA"/>
              </w:rPr>
              <w:t>(3)基于 PN532 芯片,用于 13.56MHz 近场通信。该模块配备板载天线,无需外接天线线圈,模块兼容 SPI,I2C,UART 接口进行通信。随着 NFC 库支持 Ar-duino 和 Raspberry Pi,可以方便的用于 NFC 功能产品的开发;</w:t>
            </w:r>
          </w:p>
        </w:tc>
      </w:tr>
      <w:tr w14:paraId="74C66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1B026A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存储卡</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733CCB21">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w:t>
            </w:r>
            <w:r>
              <w:rPr>
                <w:rFonts w:hint="eastAsia" w:ascii="宋体" w:hAnsi="宋体" w:eastAsia="宋体" w:cs="宋体"/>
                <w:i w:val="0"/>
                <w:iCs w:val="0"/>
                <w:color w:val="000000"/>
                <w:sz w:val="24"/>
                <w:szCs w:val="24"/>
                <w:u w:val="none"/>
              </w:rPr>
              <w:t>朗科（Netac）64GB TF（MicroSD）存储卡 A1 U3 V30 4K</w:t>
            </w:r>
            <w:r>
              <w:rPr>
                <w:rFonts w:hint="eastAsia" w:ascii="宋体" w:hAnsi="宋体" w:eastAsia="宋体" w:cs="宋体"/>
                <w:i w:val="0"/>
                <w:iCs w:val="0"/>
                <w:color w:val="000000"/>
                <w:sz w:val="24"/>
                <w:szCs w:val="24"/>
                <w:u w:val="none"/>
                <w:lang w:val="en-US" w:eastAsia="zh-CN"/>
              </w:rPr>
              <w:t>;</w:t>
            </w:r>
          </w:p>
          <w:p w14:paraId="439C35C2">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w:t>
            </w:r>
            <w:r>
              <w:rPr>
                <w:rFonts w:hint="eastAsia" w:ascii="宋体" w:hAnsi="宋体" w:eastAsia="宋体" w:cs="宋体"/>
                <w:i w:val="0"/>
                <w:iCs w:val="0"/>
                <w:color w:val="000000"/>
                <w:sz w:val="24"/>
                <w:szCs w:val="24"/>
                <w:u w:val="none"/>
              </w:rPr>
              <w:t>高度耐用行车记录仪&amp;监控摄像头内存卡 读速100MB/s</w:t>
            </w:r>
            <w:r>
              <w:rPr>
                <w:rFonts w:hint="eastAsia" w:ascii="宋体" w:hAnsi="宋体" w:eastAsia="宋体" w:cs="宋体"/>
                <w:i w:val="0"/>
                <w:iCs w:val="0"/>
                <w:color w:val="000000"/>
                <w:sz w:val="24"/>
                <w:szCs w:val="24"/>
                <w:u w:val="none"/>
                <w:lang w:val="en-US" w:eastAsia="zh-CN"/>
              </w:rPr>
              <w:t>;</w:t>
            </w:r>
          </w:p>
        </w:tc>
      </w:tr>
      <w:tr w14:paraId="1C0D7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11B230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语音识别模块</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0C70DA87">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供电电压3.3V;串口通信接口</w:t>
            </w:r>
            <w:r>
              <w:rPr>
                <w:rFonts w:hint="eastAsia" w:ascii="宋体" w:hAnsi="宋体" w:eastAsia="宋体" w:cs="宋体"/>
                <w:sz w:val="24"/>
                <w:szCs w:val="24"/>
                <w:lang w:eastAsia="zh-CN"/>
              </w:rPr>
              <w:t>；</w:t>
            </w:r>
          </w:p>
          <w:p w14:paraId="220960A3">
            <w:p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采用进口高灵敏麦克风；</w:t>
            </w:r>
          </w:p>
          <w:p w14:paraId="1CC87505">
            <w:p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设计小巧实用，摒弃许多无用的的接口；</w:t>
            </w:r>
          </w:p>
          <w:p w14:paraId="40F83F1F">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LD3320采用有源晶振，稳定可靠</w:t>
            </w:r>
            <w:r>
              <w:rPr>
                <w:rFonts w:hint="eastAsia" w:ascii="宋体" w:hAnsi="宋体" w:eastAsia="宋体" w:cs="宋体"/>
                <w:sz w:val="24"/>
                <w:szCs w:val="24"/>
                <w:lang w:eastAsia="zh-CN"/>
              </w:rPr>
              <w:t>；</w:t>
            </w:r>
          </w:p>
          <w:p w14:paraId="7E3E561A">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语音识别非常灵敏，1米以内识别率可达85%</w:t>
            </w:r>
            <w:r>
              <w:rPr>
                <w:rFonts w:hint="eastAsia" w:ascii="宋体" w:hAnsi="宋体" w:eastAsia="宋体" w:cs="宋体"/>
                <w:sz w:val="24"/>
                <w:szCs w:val="24"/>
                <w:lang w:eastAsia="zh-CN"/>
              </w:rPr>
              <w:t>；</w:t>
            </w:r>
          </w:p>
          <w:p w14:paraId="3FB400D9">
            <w:pPr>
              <w:rPr>
                <w:rFonts w:hint="eastAsia" w:ascii="宋体" w:hAnsi="宋体" w:eastAsia="宋体" w:cs="宋体"/>
                <w:i w:val="0"/>
                <w:iCs w:val="0"/>
                <w:color w:val="000000"/>
                <w:sz w:val="24"/>
                <w:szCs w:val="24"/>
                <w:u w:val="none"/>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hint="eastAsia" w:ascii="宋体" w:hAnsi="宋体" w:eastAsia="宋体" w:cs="宋体"/>
                <w:sz w:val="24"/>
                <w:szCs w:val="24"/>
              </w:rPr>
              <w:t>最多50个词条数量；</w:t>
            </w:r>
          </w:p>
        </w:tc>
      </w:tr>
      <w:tr w14:paraId="189D8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1697BB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语音合成播放模块</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4003BFF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(1)</w:t>
            </w:r>
            <w:r>
              <w:rPr>
                <w:rFonts w:hint="eastAsia" w:ascii="宋体" w:hAnsi="宋体" w:eastAsia="宋体" w:cs="宋体"/>
                <w:i w:val="0"/>
                <w:iCs w:val="0"/>
                <w:color w:val="000000"/>
                <w:sz w:val="24"/>
                <w:szCs w:val="24"/>
                <w:u w:val="none"/>
              </w:rPr>
              <w:t>Gravity I2C/UART双通讯</w:t>
            </w:r>
          </w:p>
          <w:p w14:paraId="21766AB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(2)</w:t>
            </w:r>
            <w:r>
              <w:rPr>
                <w:rFonts w:hint="eastAsia" w:ascii="宋体" w:hAnsi="宋体" w:eastAsia="宋体" w:cs="宋体"/>
                <w:i w:val="0"/>
                <w:iCs w:val="0"/>
                <w:color w:val="000000"/>
                <w:sz w:val="24"/>
                <w:szCs w:val="24"/>
                <w:u w:val="none"/>
              </w:rPr>
              <w:t>支持多种文本控制标识</w:t>
            </w:r>
          </w:p>
          <w:p w14:paraId="6EA4929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r>
              <w:rPr>
                <w:rFonts w:hint="eastAsia" w:ascii="宋体" w:hAnsi="宋体" w:eastAsia="宋体" w:cs="宋体"/>
                <w:i w:val="0"/>
                <w:iCs w:val="0"/>
                <w:color w:val="000000"/>
                <w:sz w:val="24"/>
                <w:szCs w:val="24"/>
                <w:u w:val="none"/>
              </w:rPr>
              <w:t>支持中文、英文和中英文混合合成</w:t>
            </w:r>
          </w:p>
          <w:p w14:paraId="0389ED4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(4)</w:t>
            </w:r>
            <w:r>
              <w:rPr>
                <w:rFonts w:hint="eastAsia" w:ascii="宋体" w:hAnsi="宋体" w:eastAsia="宋体" w:cs="宋体"/>
                <w:i w:val="0"/>
                <w:iCs w:val="0"/>
                <w:color w:val="000000"/>
                <w:sz w:val="24"/>
                <w:szCs w:val="24"/>
                <w:u w:val="none"/>
              </w:rPr>
              <w:t>自带喇叭</w:t>
            </w:r>
          </w:p>
          <w:p w14:paraId="71BCED1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(5)</w:t>
            </w:r>
            <w:r>
              <w:rPr>
                <w:rFonts w:hint="eastAsia" w:ascii="宋体" w:hAnsi="宋体" w:eastAsia="宋体" w:cs="宋体"/>
                <w:i w:val="0"/>
                <w:iCs w:val="0"/>
                <w:color w:val="000000"/>
                <w:sz w:val="24"/>
                <w:szCs w:val="24"/>
                <w:u w:val="none"/>
              </w:rPr>
              <w:t>供电电压：3.3V~5V</w:t>
            </w:r>
          </w:p>
          <w:p w14:paraId="453F7AB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(6)</w:t>
            </w:r>
            <w:r>
              <w:rPr>
                <w:rFonts w:hint="eastAsia" w:ascii="宋体" w:hAnsi="宋体" w:eastAsia="宋体" w:cs="宋体"/>
                <w:i w:val="0"/>
                <w:iCs w:val="0"/>
                <w:color w:val="000000"/>
                <w:sz w:val="24"/>
                <w:szCs w:val="24"/>
                <w:u w:val="none"/>
              </w:rPr>
              <w:t>工作电流：160mA</w:t>
            </w:r>
          </w:p>
          <w:p w14:paraId="2B48608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(7)</w:t>
            </w:r>
            <w:r>
              <w:rPr>
                <w:rFonts w:hint="eastAsia" w:ascii="宋体" w:hAnsi="宋体" w:eastAsia="宋体" w:cs="宋体"/>
                <w:i w:val="0"/>
                <w:iCs w:val="0"/>
                <w:color w:val="000000"/>
                <w:sz w:val="24"/>
                <w:szCs w:val="24"/>
                <w:u w:val="none"/>
              </w:rPr>
              <w:t>I2C地址：0x40</w:t>
            </w:r>
          </w:p>
          <w:p w14:paraId="030055D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(8)</w:t>
            </w:r>
            <w:r>
              <w:rPr>
                <w:rFonts w:hint="eastAsia" w:ascii="宋体" w:hAnsi="宋体" w:eastAsia="宋体" w:cs="宋体"/>
                <w:i w:val="0"/>
                <w:iCs w:val="0"/>
                <w:color w:val="000000"/>
                <w:sz w:val="24"/>
                <w:szCs w:val="24"/>
                <w:u w:val="none"/>
              </w:rPr>
              <w:t>工作温度范围：-40℃~85℃</w:t>
            </w:r>
          </w:p>
          <w:p w14:paraId="3A1AB437">
            <w:pPr>
              <w:keepNext w:val="0"/>
              <w:keepLines w:val="0"/>
              <w:widowControl/>
              <w:suppressLineNumbers w:val="0"/>
              <w:jc w:val="left"/>
              <w:textAlignment w:val="center"/>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(9)</w:t>
            </w:r>
            <w:r>
              <w:rPr>
                <w:rFonts w:hint="eastAsia" w:ascii="宋体" w:hAnsi="宋体" w:eastAsia="宋体" w:cs="宋体"/>
                <w:i w:val="0"/>
                <w:iCs w:val="0"/>
                <w:color w:val="000000"/>
                <w:sz w:val="24"/>
                <w:szCs w:val="24"/>
                <w:u w:val="none"/>
              </w:rPr>
              <w:t>产品尺寸：42*32*10.1mm</w:t>
            </w:r>
          </w:p>
        </w:tc>
      </w:tr>
      <w:tr w14:paraId="29E05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7C09DE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视觉识别模块</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66C5DB36">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w:t>
            </w:r>
            <w:r>
              <w:rPr>
                <w:rFonts w:hint="eastAsia" w:ascii="宋体" w:hAnsi="宋体" w:eastAsia="宋体" w:cs="宋体"/>
                <w:i w:val="0"/>
                <w:iCs w:val="0"/>
                <w:color w:val="000000"/>
                <w:sz w:val="24"/>
                <w:szCs w:val="24"/>
                <w:u w:val="none"/>
              </w:rPr>
              <w:t>多种颜色同时识别</w:t>
            </w:r>
            <w:r>
              <w:rPr>
                <w:rFonts w:hint="eastAsia" w:ascii="宋体" w:hAnsi="宋体" w:eastAsia="宋体" w:cs="宋体"/>
                <w:i w:val="0"/>
                <w:iCs w:val="0"/>
                <w:color w:val="000000"/>
                <w:sz w:val="24"/>
                <w:szCs w:val="24"/>
                <w:u w:val="none"/>
                <w:lang w:val="en-US" w:eastAsia="zh-CN"/>
              </w:rPr>
              <w:t>;</w:t>
            </w:r>
          </w:p>
          <w:p w14:paraId="7E9E7862">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w:t>
            </w:r>
            <w:r>
              <w:rPr>
                <w:rFonts w:hint="eastAsia" w:ascii="宋体" w:hAnsi="宋体" w:eastAsia="宋体" w:cs="宋体"/>
                <w:i w:val="0"/>
                <w:iCs w:val="0"/>
                <w:color w:val="000000"/>
                <w:sz w:val="24"/>
                <w:szCs w:val="24"/>
                <w:u w:val="none"/>
              </w:rPr>
              <w:t>摄像头采用全新200W摄像头方案清晰度高，可适应各种光线环境，无需补光灯</w:t>
            </w:r>
            <w:r>
              <w:rPr>
                <w:rFonts w:hint="eastAsia" w:ascii="宋体" w:hAnsi="宋体" w:eastAsia="宋体" w:cs="宋体"/>
                <w:i w:val="0"/>
                <w:iCs w:val="0"/>
                <w:color w:val="000000"/>
                <w:sz w:val="24"/>
                <w:szCs w:val="24"/>
                <w:u w:val="none"/>
                <w:lang w:val="en-US" w:eastAsia="zh-CN"/>
              </w:rPr>
              <w:t>;</w:t>
            </w:r>
          </w:p>
          <w:p w14:paraId="11D10513">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(3)</w:t>
            </w:r>
            <w:r>
              <w:rPr>
                <w:rFonts w:hint="eastAsia" w:ascii="宋体" w:hAnsi="宋体" w:eastAsia="宋体" w:cs="宋体"/>
                <w:i w:val="0"/>
                <w:iCs w:val="0"/>
                <w:color w:val="000000"/>
                <w:sz w:val="24"/>
                <w:szCs w:val="24"/>
                <w:u w:val="none"/>
              </w:rPr>
              <w:t>带RGB可编程灯，支持DIY编程</w:t>
            </w:r>
            <w:r>
              <w:rPr>
                <w:rFonts w:hint="eastAsia" w:ascii="宋体" w:hAnsi="宋体" w:eastAsia="宋体" w:cs="宋体"/>
                <w:i w:val="0"/>
                <w:iCs w:val="0"/>
                <w:color w:val="000000"/>
                <w:sz w:val="24"/>
                <w:szCs w:val="24"/>
                <w:u w:val="none"/>
                <w:lang w:val="en-US" w:eastAsia="zh-CN"/>
              </w:rPr>
              <w:t>;</w:t>
            </w:r>
          </w:p>
          <w:p w14:paraId="7E727F5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(4)</w:t>
            </w:r>
            <w:r>
              <w:rPr>
                <w:rFonts w:hint="eastAsia" w:ascii="宋体" w:hAnsi="宋体" w:eastAsia="宋体" w:cs="宋体"/>
                <w:i w:val="0"/>
                <w:iCs w:val="0"/>
                <w:color w:val="000000"/>
                <w:sz w:val="24"/>
                <w:szCs w:val="24"/>
                <w:u w:val="none"/>
              </w:rPr>
              <w:t>无需敲复杂代码</w:t>
            </w:r>
            <w:r>
              <w:rPr>
                <w:rFonts w:hint="eastAsia" w:ascii="宋体" w:hAnsi="宋体" w:eastAsia="宋体" w:cs="宋体"/>
                <w:i w:val="0"/>
                <w:iCs w:val="0"/>
                <w:color w:val="000000"/>
                <w:sz w:val="24"/>
                <w:szCs w:val="24"/>
                <w:u w:val="none"/>
                <w:lang w:val="en-US" w:eastAsia="zh-CN"/>
              </w:rPr>
              <w:t>,</w:t>
            </w:r>
            <w:r>
              <w:rPr>
                <w:rFonts w:hint="eastAsia" w:ascii="宋体" w:hAnsi="宋体" w:eastAsia="宋体" w:cs="宋体"/>
                <w:i w:val="0"/>
                <w:iCs w:val="0"/>
                <w:color w:val="000000"/>
                <w:sz w:val="24"/>
                <w:szCs w:val="24"/>
                <w:u w:val="none"/>
              </w:rPr>
              <w:t>一键快速实现多颜色同时识别</w:t>
            </w:r>
            <w:r>
              <w:rPr>
                <w:rFonts w:hint="eastAsia" w:ascii="宋体" w:hAnsi="宋体" w:eastAsia="宋体" w:cs="宋体"/>
                <w:i w:val="0"/>
                <w:iCs w:val="0"/>
                <w:color w:val="000000"/>
                <w:sz w:val="24"/>
                <w:szCs w:val="24"/>
                <w:u w:val="none"/>
                <w:lang w:val="en-US" w:eastAsia="zh-CN"/>
              </w:rPr>
              <w:t>;</w:t>
            </w:r>
          </w:p>
        </w:tc>
      </w:tr>
      <w:tr w14:paraId="26E41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7B7B5C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蓝牙模组</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4584C41A">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（1）可实现设备之间的无线传输，无需使用电线或数据线，即可进行设备之间的通信和数据传输；</w:t>
            </w:r>
          </w:p>
          <w:p w14:paraId="7E8F4B2D">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（2）可以与各种设备连接，广泛应用于智能家居、物联网、工业自动化、医疗健康等领域，推动设备间无线互联与控制的发展；</w:t>
            </w:r>
          </w:p>
          <w:p w14:paraId="4A285C94">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（3）蓝牙模块具备低功耗特性，有助于节能环保，适用于需要长时间运行的设备；</w:t>
            </w:r>
          </w:p>
          <w:p w14:paraId="5FE79041">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4</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蓝牙4.2标准，支持BR/EDR和BLE，支持Class-1、Class-2和Class-3</w:t>
            </w:r>
            <w:r>
              <w:rPr>
                <w:rFonts w:hint="eastAsia" w:ascii="宋体" w:hAnsi="宋体" w:eastAsia="宋体" w:cs="宋体"/>
                <w:i w:val="0"/>
                <w:iCs w:val="0"/>
                <w:color w:val="000000"/>
                <w:sz w:val="24"/>
                <w:szCs w:val="24"/>
                <w:u w:val="none"/>
                <w:lang w:eastAsia="zh-CN"/>
              </w:rPr>
              <w:t>；</w:t>
            </w:r>
          </w:p>
          <w:p w14:paraId="273F29A6">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5</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增强型功率控制（EPC）和自适应频率跳变（AFH）</w:t>
            </w:r>
            <w:r>
              <w:rPr>
                <w:rFonts w:hint="eastAsia" w:ascii="宋体" w:hAnsi="宋体" w:eastAsia="宋体" w:cs="宋体"/>
                <w:i w:val="0"/>
                <w:iCs w:val="0"/>
                <w:color w:val="000000"/>
                <w:sz w:val="24"/>
                <w:szCs w:val="24"/>
                <w:u w:val="none"/>
                <w:lang w:eastAsia="zh-CN"/>
              </w:rPr>
              <w:t>；</w:t>
            </w:r>
          </w:p>
          <w:p w14:paraId="31DA64AE">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6</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支持多种蓝牙协议，包括L2CAP、SDP、GAP、SMP等</w:t>
            </w:r>
            <w:r>
              <w:rPr>
                <w:rFonts w:hint="eastAsia" w:ascii="宋体" w:hAnsi="宋体" w:eastAsia="宋体" w:cs="宋体"/>
                <w:i w:val="0"/>
                <w:iCs w:val="0"/>
                <w:color w:val="000000"/>
                <w:sz w:val="24"/>
                <w:szCs w:val="24"/>
                <w:u w:val="none"/>
                <w:lang w:eastAsia="zh-CN"/>
              </w:rPr>
              <w:t>；</w:t>
            </w:r>
          </w:p>
          <w:p w14:paraId="2887B06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7</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I/O接口：SDIO/SPI/UART，高速UART HCI</w:t>
            </w:r>
            <w:r>
              <w:rPr>
                <w:rFonts w:hint="eastAsia" w:ascii="宋体" w:hAnsi="宋体" w:eastAsia="宋体" w:cs="宋体"/>
                <w:i w:val="0"/>
                <w:iCs w:val="0"/>
                <w:color w:val="000000"/>
                <w:sz w:val="24"/>
                <w:szCs w:val="24"/>
                <w:u w:val="none"/>
                <w:lang w:eastAsia="zh-CN"/>
              </w:rPr>
              <w:t>；</w:t>
            </w:r>
          </w:p>
        </w:tc>
      </w:tr>
      <w:tr w14:paraId="04695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598F59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Lora模组</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7A3B592C">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1</w:t>
            </w:r>
            <w:r>
              <w:rPr>
                <w:rFonts w:hint="eastAsia" w:ascii="宋体" w:hAnsi="宋体" w:eastAsia="宋体" w:cs="宋体"/>
                <w:i w:val="0"/>
                <w:iCs w:val="0"/>
                <w:color w:val="000000"/>
                <w:sz w:val="24"/>
                <w:szCs w:val="24"/>
                <w:u w:val="none"/>
                <w:lang w:eastAsia="zh-CN"/>
              </w:rPr>
              <w:t>）采用扩频调制技术，低功耗广域网无线通信模块，能够实现几公里的通信距离，适合需要长时间运行的物联网应用；</w:t>
            </w:r>
          </w:p>
          <w:p w14:paraId="679D05D1">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2</w:t>
            </w:r>
            <w:r>
              <w:rPr>
                <w:rFonts w:hint="eastAsia" w:ascii="宋体" w:hAnsi="宋体" w:eastAsia="宋体" w:cs="宋体"/>
                <w:i w:val="0"/>
                <w:iCs w:val="0"/>
                <w:color w:val="000000"/>
                <w:sz w:val="24"/>
                <w:szCs w:val="24"/>
                <w:u w:val="none"/>
                <w:lang w:eastAsia="zh-CN"/>
              </w:rPr>
              <w:t>）采用直接序列扩频（DSSS），提高了信号的抗干扰能力和接收灵敏度，确保在复杂环境中稳定通信。</w:t>
            </w:r>
          </w:p>
          <w:p w14:paraId="239E3B9C">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3</w:t>
            </w:r>
            <w:r>
              <w:rPr>
                <w:rFonts w:hint="eastAsia" w:ascii="宋体" w:hAnsi="宋体" w:eastAsia="宋体" w:cs="宋体"/>
                <w:i w:val="0"/>
                <w:iCs w:val="0"/>
                <w:color w:val="000000"/>
                <w:sz w:val="24"/>
                <w:szCs w:val="24"/>
                <w:u w:val="none"/>
                <w:lang w:eastAsia="zh-CN"/>
              </w:rPr>
              <w:t>）支持多节点同时通信，适用于大规模物联网网络的部署和管理；</w:t>
            </w:r>
          </w:p>
          <w:p w14:paraId="71DDAF6D">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（4）支持设备与服务器或网关之间的双向数据传输，实现数据的实时交互；</w:t>
            </w:r>
          </w:p>
          <w:p w14:paraId="36FEFE1B">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（5）支持星型、网状等多种组网形式，满足不同应用需求；</w:t>
            </w:r>
          </w:p>
          <w:p w14:paraId="7A242568">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6</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工作频段: L102-L-P: 398 ~ 525 MHz</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发射功率: 最大 20 dBm</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接收灵敏度: -138 dBm @ 0.268 kbps</w:t>
            </w:r>
            <w:r>
              <w:rPr>
                <w:rFonts w:hint="eastAsia" w:ascii="宋体" w:hAnsi="宋体" w:eastAsia="宋体" w:cs="宋体"/>
                <w:i w:val="0"/>
                <w:iCs w:val="0"/>
                <w:color w:val="000000"/>
                <w:sz w:val="24"/>
                <w:szCs w:val="24"/>
                <w:u w:val="none"/>
                <w:lang w:eastAsia="zh-CN"/>
              </w:rPr>
              <w:t>；</w:t>
            </w:r>
          </w:p>
          <w:p w14:paraId="04530B2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7</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传输距离: L102-L: 3500m (视环境而定，受时间、空间、最大功率、天线增益等因素影响)</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SMA (外螺内孔)</w:t>
            </w:r>
            <w:r>
              <w:rPr>
                <w:rFonts w:hint="eastAsia" w:ascii="宋体" w:hAnsi="宋体" w:eastAsia="宋体" w:cs="宋体"/>
                <w:i w:val="0"/>
                <w:iCs w:val="0"/>
                <w:color w:val="000000"/>
                <w:sz w:val="24"/>
                <w:szCs w:val="24"/>
                <w:u w:val="none"/>
                <w:lang w:val="en-US" w:eastAsia="zh-CN"/>
              </w:rPr>
              <w:t>天线；</w:t>
            </w:r>
          </w:p>
        </w:tc>
      </w:tr>
      <w:tr w14:paraId="6B4B0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02D71B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GPS北斗导航模组</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1AFC9613">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w:t>
            </w:r>
            <w:r>
              <w:rPr>
                <w:rFonts w:hint="eastAsia" w:ascii="宋体" w:hAnsi="宋体" w:eastAsia="宋体" w:cs="宋体"/>
                <w:i w:val="0"/>
                <w:iCs w:val="0"/>
                <w:color w:val="000000"/>
                <w:sz w:val="24"/>
                <w:szCs w:val="24"/>
                <w:u w:val="none"/>
              </w:rPr>
              <w:t>集成了GPS（全球定位系统）和BDS（北斗卫星导航系统）功能的定位模块，它能够接收并处理来自这两个系统的卫星信号，提供精确的定位信息</w:t>
            </w:r>
            <w:r>
              <w:rPr>
                <w:rFonts w:hint="eastAsia" w:ascii="宋体" w:hAnsi="宋体" w:eastAsia="宋体" w:cs="宋体"/>
                <w:i w:val="0"/>
                <w:iCs w:val="0"/>
                <w:color w:val="000000"/>
                <w:sz w:val="24"/>
                <w:szCs w:val="24"/>
                <w:u w:val="none"/>
                <w:lang w:val="en-US" w:eastAsia="zh-CN"/>
              </w:rPr>
              <w:t>;</w:t>
            </w:r>
          </w:p>
          <w:p w14:paraId="5F2AEF0D">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w:t>
            </w:r>
            <w:r>
              <w:rPr>
                <w:rFonts w:hint="eastAsia" w:ascii="宋体" w:hAnsi="宋体" w:eastAsia="宋体" w:cs="宋体"/>
                <w:i w:val="0"/>
                <w:iCs w:val="0"/>
                <w:color w:val="000000"/>
                <w:sz w:val="24"/>
                <w:szCs w:val="24"/>
                <w:u w:val="none"/>
              </w:rPr>
              <w:t>GPS支持L1频点</w:t>
            </w:r>
            <w:r>
              <w:rPr>
                <w:rFonts w:hint="eastAsia" w:ascii="宋体" w:hAnsi="宋体" w:eastAsia="宋体" w:cs="宋体"/>
                <w:i w:val="0"/>
                <w:iCs w:val="0"/>
                <w:color w:val="000000"/>
                <w:sz w:val="24"/>
                <w:szCs w:val="24"/>
                <w:u w:val="none"/>
                <w:lang w:val="en-US" w:eastAsia="zh-CN"/>
              </w:rPr>
              <w:t>;</w:t>
            </w:r>
          </w:p>
          <w:p w14:paraId="1354404F">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(3)</w:t>
            </w:r>
            <w:r>
              <w:rPr>
                <w:rFonts w:hint="eastAsia" w:ascii="宋体" w:hAnsi="宋体" w:eastAsia="宋体" w:cs="宋体"/>
                <w:i w:val="0"/>
                <w:iCs w:val="0"/>
                <w:color w:val="000000"/>
                <w:sz w:val="24"/>
                <w:szCs w:val="24"/>
                <w:u w:val="none"/>
              </w:rPr>
              <w:t>BDS支持B1频点</w:t>
            </w:r>
            <w:r>
              <w:rPr>
                <w:rFonts w:hint="eastAsia" w:ascii="宋体" w:hAnsi="宋体" w:eastAsia="宋体" w:cs="宋体"/>
                <w:i w:val="0"/>
                <w:iCs w:val="0"/>
                <w:color w:val="000000"/>
                <w:sz w:val="24"/>
                <w:szCs w:val="24"/>
                <w:u w:val="none"/>
                <w:lang w:val="en-US" w:eastAsia="zh-CN"/>
              </w:rPr>
              <w:t>;</w:t>
            </w:r>
          </w:p>
          <w:p w14:paraId="41B2ED2A">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(4)</w:t>
            </w:r>
            <w:r>
              <w:rPr>
                <w:rFonts w:hint="eastAsia" w:ascii="宋体" w:hAnsi="宋体" w:eastAsia="宋体" w:cs="宋体"/>
                <w:i w:val="0"/>
                <w:iCs w:val="0"/>
                <w:color w:val="000000"/>
                <w:sz w:val="24"/>
                <w:szCs w:val="24"/>
                <w:u w:val="none"/>
              </w:rPr>
              <w:t>水平定位精度通常小于3米（在开阔地），部分高精度模块可达2.5米或更低</w:t>
            </w:r>
            <w:r>
              <w:rPr>
                <w:rFonts w:hint="eastAsia" w:ascii="宋体" w:hAnsi="宋体" w:eastAsia="宋体" w:cs="宋体"/>
                <w:i w:val="0"/>
                <w:iCs w:val="0"/>
                <w:color w:val="000000"/>
                <w:sz w:val="24"/>
                <w:szCs w:val="24"/>
                <w:u w:val="none"/>
                <w:lang w:val="en-US" w:eastAsia="zh-CN"/>
              </w:rPr>
              <w:t>;</w:t>
            </w:r>
          </w:p>
          <w:p w14:paraId="4440268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(5)</w:t>
            </w:r>
            <w:r>
              <w:rPr>
                <w:rFonts w:hint="eastAsia" w:ascii="宋体" w:hAnsi="宋体" w:eastAsia="宋体" w:cs="宋体"/>
                <w:i w:val="0"/>
                <w:iCs w:val="0"/>
                <w:color w:val="000000"/>
                <w:sz w:val="24"/>
                <w:szCs w:val="24"/>
                <w:u w:val="none"/>
              </w:rPr>
              <w:t>高程定位精度通常小于4.5米</w:t>
            </w:r>
            <w:r>
              <w:rPr>
                <w:rFonts w:hint="eastAsia" w:ascii="宋体" w:hAnsi="宋体" w:eastAsia="宋体" w:cs="宋体"/>
                <w:i w:val="0"/>
                <w:iCs w:val="0"/>
                <w:color w:val="000000"/>
                <w:sz w:val="24"/>
                <w:szCs w:val="24"/>
                <w:u w:val="none"/>
                <w:lang w:val="en-US" w:eastAsia="zh-CN"/>
              </w:rPr>
              <w:t>;</w:t>
            </w:r>
          </w:p>
        </w:tc>
      </w:tr>
      <w:tr w14:paraId="2CC64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1FAC27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指纹识别模组</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35197A8A">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）指纹识别模块内置高精度的指纹传感器，能够迅速且准确地采集用户的指纹图像；</w:t>
            </w:r>
          </w:p>
          <w:p w14:paraId="0AD75B2C">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）采集到的指纹图像会经过一系列复杂的处理过程，包括图像增强、二值化、细化、特征提取等，以形成可用于比对的指纹特征模板；</w:t>
            </w:r>
          </w:p>
          <w:p w14:paraId="7A0BFB06">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）指纹识别模块能够将处理后的指纹特征与数据库中存储的指纹特征模板进行比对，以判断输入指纹是否与已注册的指纹相匹配；</w:t>
            </w:r>
          </w:p>
          <w:p w14:paraId="698D50C4">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）指纹识别模块在指纹数据的存储和传输过程中，采用加密技术确保数据的安全性，防止数据泄露和篡改；</w:t>
            </w:r>
          </w:p>
          <w:p w14:paraId="06739907">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可</w:t>
            </w:r>
            <w:r>
              <w:rPr>
                <w:rFonts w:hint="eastAsia" w:ascii="宋体" w:hAnsi="宋体" w:eastAsia="宋体" w:cs="宋体"/>
                <w:sz w:val="24"/>
                <w:szCs w:val="24"/>
                <w:lang w:eastAsia="zh-CN"/>
              </w:rPr>
              <w:t>广泛</w:t>
            </w:r>
            <w:r>
              <w:rPr>
                <w:rFonts w:hint="eastAsia" w:ascii="宋体" w:hAnsi="宋体" w:eastAsia="宋体" w:cs="宋体"/>
                <w:sz w:val="24"/>
                <w:szCs w:val="24"/>
                <w:lang w:val="en-US" w:eastAsia="zh-CN"/>
              </w:rPr>
              <w:t>应用于</w:t>
            </w:r>
            <w:r>
              <w:rPr>
                <w:rFonts w:hint="eastAsia" w:ascii="宋体" w:hAnsi="宋体" w:eastAsia="宋体" w:cs="宋体"/>
                <w:sz w:val="24"/>
                <w:szCs w:val="24"/>
                <w:lang w:eastAsia="zh-CN"/>
              </w:rPr>
              <w:t>安全、金融、医疗、工业、门禁、考勤、公共交通、零售、智能家居等多个方面；</w:t>
            </w:r>
          </w:p>
          <w:p w14:paraId="038361C1">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hint="eastAsia" w:ascii="宋体" w:hAnsi="宋体" w:eastAsia="宋体" w:cs="宋体"/>
                <w:sz w:val="24"/>
                <w:szCs w:val="24"/>
              </w:rPr>
              <w:t>LD3320A指纹识别模块</w:t>
            </w:r>
            <w:r>
              <w:rPr>
                <w:rFonts w:hint="eastAsia" w:ascii="宋体" w:hAnsi="宋体" w:eastAsia="宋体" w:cs="宋体"/>
                <w:sz w:val="24"/>
                <w:szCs w:val="24"/>
                <w:lang w:eastAsia="zh-CN"/>
              </w:rPr>
              <w:t>，</w:t>
            </w:r>
            <w:r>
              <w:rPr>
                <w:rFonts w:hint="eastAsia" w:ascii="宋体" w:hAnsi="宋体" w:eastAsia="宋体" w:cs="宋体"/>
                <w:sz w:val="24"/>
                <w:szCs w:val="24"/>
              </w:rPr>
              <w:t>UAAT接口</w:t>
            </w:r>
            <w:r>
              <w:rPr>
                <w:rFonts w:hint="eastAsia" w:ascii="宋体" w:hAnsi="宋体" w:eastAsia="宋体" w:cs="宋体"/>
                <w:sz w:val="24"/>
                <w:szCs w:val="24"/>
                <w:lang w:eastAsia="zh-CN"/>
              </w:rPr>
              <w:t>；</w:t>
            </w:r>
          </w:p>
          <w:p w14:paraId="2CE696AF">
            <w:p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w:t>
            </w:r>
            <w:r>
              <w:rPr>
                <w:rFonts w:hint="eastAsia" w:ascii="宋体" w:hAnsi="宋体" w:eastAsia="宋体" w:cs="宋体"/>
                <w:sz w:val="24"/>
                <w:szCs w:val="24"/>
              </w:rPr>
              <w:t>采用光学指纹识别芯片，该芯片集成指纹采集、指纹特征识别算法，可以识别存储匹配指纹。</w:t>
            </w:r>
          </w:p>
          <w:p w14:paraId="2290957A">
            <w:pPr>
              <w:rPr>
                <w:rFonts w:hint="eastAsia" w:ascii="宋体" w:hAnsi="宋体" w:eastAsia="宋体" w:cs="宋体"/>
                <w:i w:val="0"/>
                <w:iCs w:val="0"/>
                <w:color w:val="000000"/>
                <w:sz w:val="24"/>
                <w:szCs w:val="24"/>
                <w:u w:val="none"/>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w:t>
            </w:r>
            <w:r>
              <w:rPr>
                <w:rFonts w:hint="eastAsia" w:ascii="宋体" w:hAnsi="宋体" w:eastAsia="宋体" w:cs="宋体"/>
                <w:sz w:val="24"/>
                <w:szCs w:val="24"/>
              </w:rPr>
              <w:t>系统配套特征识别代码，提供完善驱动支持</w:t>
            </w:r>
            <w:r>
              <w:rPr>
                <w:rFonts w:hint="eastAsia" w:ascii="宋体" w:hAnsi="宋体" w:eastAsia="宋体" w:cs="宋体"/>
                <w:sz w:val="24"/>
                <w:szCs w:val="24"/>
                <w:lang w:eastAsia="zh-CN"/>
              </w:rPr>
              <w:t>；</w:t>
            </w:r>
          </w:p>
        </w:tc>
      </w:tr>
      <w:tr w14:paraId="48EDF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63" w:type="dxa"/>
            <w:tcBorders>
              <w:top w:val="single" w:color="000000" w:sz="4" w:space="0"/>
              <w:left w:val="single" w:color="000000" w:sz="4" w:space="0"/>
              <w:bottom w:val="single" w:color="000000" w:sz="4" w:space="0"/>
              <w:right w:val="single" w:color="000000" w:sz="4" w:space="0"/>
            </w:tcBorders>
            <w:noWrap/>
            <w:vAlign w:val="center"/>
          </w:tcPr>
          <w:p w14:paraId="7706C67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鸿蒙开发案例资源</w:t>
            </w:r>
          </w:p>
        </w:tc>
        <w:tc>
          <w:tcPr>
            <w:tcW w:w="6716" w:type="dxa"/>
            <w:tcBorders>
              <w:top w:val="single" w:color="000000" w:sz="4" w:space="0"/>
              <w:left w:val="single" w:color="000000" w:sz="4" w:space="0"/>
              <w:bottom w:val="single" w:color="000000" w:sz="4" w:space="0"/>
              <w:right w:val="single" w:color="000000" w:sz="4" w:space="0"/>
            </w:tcBorders>
            <w:noWrap w:val="0"/>
            <w:vAlign w:val="center"/>
          </w:tcPr>
          <w:p w14:paraId="684082E6">
            <w:pPr>
              <w:rPr>
                <w:rFonts w:hint="default"/>
                <w:lang w:val="en-US" w:eastAsia="zh-CN"/>
              </w:rPr>
            </w:pPr>
            <w:r>
              <w:rPr>
                <w:rFonts w:hint="eastAsia" w:ascii="宋体" w:hAnsi="宋体" w:cs="宋体"/>
                <w:sz w:val="24"/>
                <w:szCs w:val="24"/>
                <w:lang w:val="en-US" w:eastAsia="zh-CN"/>
              </w:rPr>
              <w:t>配套设备教学资源，包括鸿蒙智能开发板南向、北向各5个以上可以实施的完整开发案例，提供全部实施过程文档、代码文件、开发资源及开发环境。</w:t>
            </w:r>
          </w:p>
        </w:tc>
      </w:tr>
    </w:tbl>
    <w:p w14:paraId="3B318314">
      <w:pPr>
        <w:pStyle w:val="13"/>
        <w:rPr>
          <w:rFonts w:hint="default"/>
          <w:lang w:val="en-US" w:eastAsia="zh-CN"/>
        </w:rPr>
      </w:pPr>
    </w:p>
    <w:p w14:paraId="1ECD0E15">
      <w:pPr>
        <w:numPr>
          <w:ilvl w:val="0"/>
          <w:numId w:val="1"/>
        </w:numPr>
        <w:tabs>
          <w:tab w:val="left" w:pos="709"/>
          <w:tab w:val="left" w:pos="993"/>
          <w:tab w:val="left" w:pos="1418"/>
        </w:tabs>
        <w:ind w:left="0" w:leftChars="0" w:firstLine="0" w:firstLineChars="0"/>
        <w:rPr>
          <w:rFonts w:hint="eastAsia" w:ascii="宋体" w:hAnsi="宋体"/>
          <w:b/>
          <w:color w:val="000000"/>
          <w:kern w:val="0"/>
          <w:sz w:val="28"/>
          <w:szCs w:val="28"/>
        </w:rPr>
      </w:pPr>
      <w:r>
        <w:rPr>
          <w:rFonts w:hint="eastAsia" w:ascii="宋体" w:hAnsi="宋体"/>
          <w:b/>
          <w:color w:val="000000"/>
          <w:kern w:val="0"/>
          <w:sz w:val="28"/>
          <w:szCs w:val="28"/>
        </w:rPr>
        <w:t>其他服务要求：</w:t>
      </w:r>
    </w:p>
    <w:p w14:paraId="2F824323">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color w:val="000000"/>
          <w:kern w:val="0"/>
          <w:sz w:val="28"/>
          <w:szCs w:val="28"/>
          <w:lang w:val="en-US" w:eastAsia="zh-CN"/>
        </w:rPr>
      </w:pP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1</w:t>
      </w:r>
      <w:r>
        <w:rPr>
          <w:rFonts w:hint="eastAsia" w:ascii="宋体" w:hAnsi="宋体"/>
          <w:color w:val="000000"/>
          <w:kern w:val="0"/>
          <w:sz w:val="28"/>
          <w:szCs w:val="28"/>
          <w:lang w:eastAsia="zh-CN"/>
        </w:rPr>
        <w:t>）</w:t>
      </w:r>
      <w:r>
        <w:rPr>
          <w:rFonts w:hint="eastAsia" w:ascii="宋体" w:hAnsi="宋体"/>
          <w:color w:val="000000"/>
          <w:kern w:val="0"/>
          <w:sz w:val="28"/>
          <w:szCs w:val="28"/>
        </w:rPr>
        <w:t>供应商应明确承诺投标产品的质量保证期不低于一</w:t>
      </w:r>
      <w:r>
        <w:rPr>
          <w:rFonts w:hint="eastAsia" w:ascii="宋体" w:hAnsi="宋体"/>
          <w:color w:val="000000"/>
          <w:kern w:val="0"/>
          <w:sz w:val="28"/>
          <w:szCs w:val="28"/>
          <w:lang w:val="en-US" w:eastAsia="zh-CN"/>
        </w:rPr>
        <w:t>年；</w:t>
      </w:r>
    </w:p>
    <w:p w14:paraId="0D23E583">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（2）用户遇到使用及技术问题时，若电话咨询不能解决，供应商应在规定时间内（如48小时内）采取相应措施，提供上门服务，确保产品正常工作。</w:t>
      </w:r>
    </w:p>
    <w:p w14:paraId="72C2B625">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color w:val="000000"/>
          <w:kern w:val="0"/>
          <w:sz w:val="28"/>
          <w:szCs w:val="28"/>
        </w:rPr>
      </w:pPr>
      <w:r>
        <w:rPr>
          <w:rFonts w:hint="eastAsia" w:ascii="宋体" w:hAnsi="宋体"/>
          <w:color w:val="000000"/>
          <w:kern w:val="0"/>
          <w:sz w:val="28"/>
          <w:szCs w:val="28"/>
          <w:lang w:val="en-US" w:eastAsia="zh-CN"/>
        </w:rPr>
        <w:t>（3）质保期内，若产品出现非人为因素或不可抗力导致的质量问题，供应商应负责无条件更换或维修。</w:t>
      </w:r>
      <w:r>
        <w:rPr>
          <w:rFonts w:hint="eastAsia" w:ascii="宋体" w:hAnsi="宋体"/>
          <w:color w:val="000000"/>
          <w:kern w:val="0"/>
          <w:sz w:val="28"/>
          <w:szCs w:val="28"/>
        </w:rPr>
        <w:t xml:space="preserve"> </w:t>
      </w:r>
    </w:p>
    <w:p w14:paraId="718A9B2E">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四、</w:t>
      </w:r>
      <w:r>
        <w:rPr>
          <w:rFonts w:hint="eastAsia" w:ascii="宋体" w:hAnsi="宋体"/>
          <w:b/>
          <w:color w:val="000000"/>
          <w:kern w:val="0"/>
          <w:sz w:val="28"/>
          <w:szCs w:val="28"/>
          <w:lang w:val="en-US" w:eastAsia="zh-CN"/>
        </w:rPr>
        <w:t>验收标准</w:t>
      </w:r>
      <w:r>
        <w:rPr>
          <w:rFonts w:hint="eastAsia" w:ascii="宋体" w:hAnsi="宋体"/>
          <w:b/>
          <w:color w:val="000000"/>
          <w:kern w:val="0"/>
          <w:sz w:val="28"/>
          <w:szCs w:val="28"/>
        </w:rPr>
        <w:t>：</w:t>
      </w:r>
    </w:p>
    <w:p w14:paraId="14B236F7">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color w:val="000000"/>
          <w:kern w:val="0"/>
          <w:sz w:val="28"/>
          <w:szCs w:val="28"/>
          <w:lang w:eastAsia="zh-CN"/>
        </w:rPr>
      </w:pP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1</w:t>
      </w:r>
      <w:r>
        <w:rPr>
          <w:rFonts w:hint="eastAsia" w:ascii="宋体" w:hAnsi="宋体"/>
          <w:color w:val="000000"/>
          <w:kern w:val="0"/>
          <w:sz w:val="28"/>
          <w:szCs w:val="28"/>
          <w:lang w:eastAsia="zh-CN"/>
        </w:rPr>
        <w:t>）资料验收：审核合同、技术</w:t>
      </w:r>
      <w:r>
        <w:rPr>
          <w:rFonts w:hint="eastAsia" w:ascii="宋体" w:hAnsi="宋体"/>
          <w:color w:val="000000"/>
          <w:kern w:val="0"/>
          <w:sz w:val="28"/>
          <w:szCs w:val="28"/>
          <w:lang w:val="en-US" w:eastAsia="zh-CN"/>
        </w:rPr>
        <w:t>资料</w:t>
      </w:r>
      <w:r>
        <w:rPr>
          <w:rFonts w:hint="eastAsia" w:ascii="宋体" w:hAnsi="宋体"/>
          <w:color w:val="000000"/>
          <w:kern w:val="0"/>
          <w:sz w:val="28"/>
          <w:szCs w:val="28"/>
          <w:lang w:eastAsia="zh-CN"/>
        </w:rPr>
        <w:t>、发票等文件是否齐全，并与实际采购物品相符；检查产品说明书、合格证、质保书是否完整，且内容真实有效。</w:t>
      </w:r>
    </w:p>
    <w:p w14:paraId="6483BC4F">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color w:val="000000"/>
          <w:kern w:val="0"/>
          <w:sz w:val="28"/>
          <w:szCs w:val="28"/>
          <w:lang w:eastAsia="zh-CN"/>
        </w:rPr>
      </w:pP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2</w:t>
      </w:r>
      <w:r>
        <w:rPr>
          <w:rFonts w:hint="eastAsia" w:ascii="宋体" w:hAnsi="宋体"/>
          <w:color w:val="000000"/>
          <w:kern w:val="0"/>
          <w:sz w:val="28"/>
          <w:szCs w:val="28"/>
          <w:lang w:eastAsia="zh-CN"/>
        </w:rPr>
        <w:t>）数量验收：根据采购清单，逐一核对物品的数量，确保与实际采购数量相符。对于分批交付的物品，应逐批进行数量验收，并记录每批的数量。</w:t>
      </w:r>
    </w:p>
    <w:p w14:paraId="4683D69A">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color w:val="000000"/>
          <w:kern w:val="0"/>
          <w:sz w:val="28"/>
          <w:szCs w:val="28"/>
          <w:lang w:eastAsia="zh-CN"/>
        </w:rPr>
      </w:pP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3</w:t>
      </w:r>
      <w:r>
        <w:rPr>
          <w:rFonts w:hint="eastAsia" w:ascii="宋体" w:hAnsi="宋体"/>
          <w:color w:val="000000"/>
          <w:kern w:val="0"/>
          <w:sz w:val="28"/>
          <w:szCs w:val="28"/>
          <w:lang w:eastAsia="zh-CN"/>
        </w:rPr>
        <w:t>）外观验收：检查产品的外观是否完好，无破损、变形、锈蚀等缺陷；核对产品的颜色、尺寸、规格等是否符合合同要求；检查产品的包装是否完整、牢固，有无破损、受潮、水浸、油污等异状。</w:t>
      </w:r>
    </w:p>
    <w:p w14:paraId="5FC1B035">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color w:val="000000"/>
          <w:kern w:val="0"/>
          <w:sz w:val="28"/>
          <w:szCs w:val="28"/>
          <w:lang w:eastAsia="zh-CN"/>
        </w:rPr>
      </w:pP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4</w:t>
      </w:r>
      <w:r>
        <w:rPr>
          <w:rFonts w:hint="eastAsia" w:ascii="宋体" w:hAnsi="宋体"/>
          <w:color w:val="000000"/>
          <w:kern w:val="0"/>
          <w:sz w:val="28"/>
          <w:szCs w:val="28"/>
          <w:lang w:eastAsia="zh-CN"/>
        </w:rPr>
        <w:t>）功能检测：根据产品说明书和合同要求，对产品进行功能测试，确保各项功能正常；对于复杂设备或系统，应进行详细的性能测试和调试，确保满足使用要求；</w:t>
      </w:r>
      <w:r>
        <w:rPr>
          <w:rFonts w:hint="eastAsia" w:ascii="宋体" w:hAnsi="宋体"/>
          <w:color w:val="000000"/>
          <w:kern w:val="0"/>
          <w:sz w:val="28"/>
          <w:szCs w:val="28"/>
          <w:lang w:val="en-US" w:eastAsia="zh-CN"/>
        </w:rPr>
        <w:t>提供的</w:t>
      </w:r>
      <w:r>
        <w:rPr>
          <w:rFonts w:hint="eastAsia" w:ascii="宋体" w:hAnsi="宋体"/>
          <w:color w:val="000000"/>
          <w:kern w:val="0"/>
          <w:sz w:val="28"/>
          <w:szCs w:val="28"/>
          <w:lang w:eastAsia="zh-CN"/>
        </w:rPr>
        <w:t>鸿蒙开发案例资源</w:t>
      </w:r>
      <w:r>
        <w:rPr>
          <w:rFonts w:hint="eastAsia" w:ascii="宋体" w:hAnsi="宋体"/>
          <w:color w:val="000000"/>
          <w:kern w:val="0"/>
          <w:sz w:val="28"/>
          <w:szCs w:val="28"/>
          <w:lang w:val="en-US" w:eastAsia="zh-CN"/>
        </w:rPr>
        <w:t>均可以实施</w:t>
      </w:r>
      <w:r>
        <w:rPr>
          <w:rFonts w:hint="eastAsia" w:ascii="宋体" w:hAnsi="宋体"/>
          <w:color w:val="000000"/>
          <w:kern w:val="0"/>
          <w:sz w:val="28"/>
          <w:szCs w:val="28"/>
          <w:lang w:eastAsia="zh-CN"/>
        </w:rPr>
        <w:t>。</w:t>
      </w:r>
    </w:p>
    <w:p w14:paraId="5A31203F">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color w:val="000000"/>
          <w:kern w:val="0"/>
          <w:sz w:val="28"/>
          <w:szCs w:val="28"/>
          <w:lang w:eastAsia="zh-CN"/>
        </w:rPr>
      </w:pP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5</w:t>
      </w:r>
      <w:r>
        <w:rPr>
          <w:rFonts w:hint="eastAsia" w:ascii="宋体" w:hAnsi="宋体"/>
          <w:color w:val="000000"/>
          <w:kern w:val="0"/>
          <w:sz w:val="28"/>
          <w:szCs w:val="28"/>
          <w:lang w:eastAsia="zh-CN"/>
        </w:rPr>
        <w:t>）安全性检验：检查产品是否符合国家及行业相关的安全标准和规定；对于涉及安全性的产品，如电器、机械设备等，应进行安全认证和检验。</w:t>
      </w:r>
    </w:p>
    <w:p w14:paraId="0C77DDAD">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color w:val="000000"/>
          <w:kern w:val="0"/>
          <w:sz w:val="28"/>
          <w:szCs w:val="28"/>
          <w:lang w:eastAsia="zh-CN"/>
        </w:rPr>
      </w:pP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6</w:t>
      </w:r>
      <w:r>
        <w:rPr>
          <w:rFonts w:hint="eastAsia" w:ascii="宋体" w:hAnsi="宋体"/>
          <w:color w:val="000000"/>
          <w:kern w:val="0"/>
          <w:sz w:val="28"/>
          <w:szCs w:val="28"/>
          <w:lang w:eastAsia="zh-CN"/>
        </w:rPr>
        <w:t>）兼容性测试：若产品需要与其他设备或系统配合使用，应进行兼容性测试，确保能够正常工作。</w:t>
      </w:r>
    </w:p>
    <w:p w14:paraId="3D40992E">
      <w:pPr>
        <w:tabs>
          <w:tab w:val="left" w:pos="709"/>
          <w:tab w:val="left" w:pos="993"/>
          <w:tab w:val="left" w:pos="1418"/>
        </w:tabs>
        <w:rPr>
          <w:rFonts w:hint="default" w:ascii="宋体" w:hAnsi="宋体" w:eastAsia="宋体"/>
          <w:b/>
          <w:color w:val="000000"/>
          <w:kern w:val="0"/>
          <w:sz w:val="28"/>
          <w:szCs w:val="28"/>
          <w:lang w:val="en-US" w:eastAsia="zh-CN"/>
        </w:rPr>
      </w:pPr>
      <w:r>
        <w:rPr>
          <w:rFonts w:hint="eastAsia" w:ascii="宋体" w:hAnsi="宋体"/>
          <w:b/>
          <w:color w:val="000000"/>
          <w:kern w:val="0"/>
          <w:sz w:val="28"/>
          <w:szCs w:val="28"/>
          <w:lang w:val="en-US" w:eastAsia="zh-CN"/>
        </w:rPr>
        <w:t>五</w:t>
      </w:r>
      <w:r>
        <w:rPr>
          <w:rFonts w:hint="eastAsia" w:ascii="宋体" w:hAnsi="宋体"/>
          <w:b/>
          <w:color w:val="000000"/>
          <w:kern w:val="0"/>
          <w:sz w:val="28"/>
          <w:szCs w:val="28"/>
        </w:rPr>
        <w:t>、采购项目交货期：</w:t>
      </w:r>
      <w:r>
        <w:rPr>
          <w:rFonts w:hint="eastAsia" w:ascii="宋体" w:hAnsi="宋体"/>
          <w:b w:val="0"/>
          <w:bCs/>
          <w:color w:val="000000"/>
          <w:kern w:val="0"/>
          <w:sz w:val="28"/>
          <w:szCs w:val="28"/>
          <w:lang w:val="en-US" w:eastAsia="zh-CN"/>
        </w:rPr>
        <w:t>合同签订后30天内</w:t>
      </w:r>
    </w:p>
    <w:p w14:paraId="54A3A934">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五、采购项目交付或执行的地点：</w:t>
      </w:r>
      <w:r>
        <w:rPr>
          <w:rFonts w:hint="eastAsia" w:ascii="宋体" w:hAnsi="宋体"/>
          <w:color w:val="000000"/>
          <w:kern w:val="0"/>
          <w:sz w:val="28"/>
          <w:szCs w:val="28"/>
        </w:rPr>
        <w:t>江苏信息职业技术学院或采购人指定地点。</w:t>
      </w:r>
    </w:p>
    <w:p w14:paraId="259F22D5">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六、付款方式：</w:t>
      </w:r>
      <w:r>
        <w:rPr>
          <w:rFonts w:hint="eastAsia" w:ascii="宋体" w:hAnsi="宋体"/>
          <w:b w:val="0"/>
          <w:bCs/>
          <w:color w:val="000000"/>
          <w:kern w:val="0"/>
          <w:sz w:val="28"/>
          <w:szCs w:val="28"/>
          <w:lang w:val="en-US" w:eastAsia="zh-CN"/>
        </w:rPr>
        <w:t>验收合格后支付100%货款。</w:t>
      </w:r>
      <w:r>
        <w:rPr>
          <w:rFonts w:ascii="宋体" w:hAnsi="宋体"/>
          <w:b/>
          <w:color w:val="000000"/>
          <w:kern w:val="0"/>
          <w:sz w:val="28"/>
          <w:szCs w:val="28"/>
        </w:rPr>
        <w:t xml:space="preserve"> </w:t>
      </w:r>
    </w:p>
    <w:p w14:paraId="71C43A62">
      <w:pPr>
        <w:spacing w:line="360" w:lineRule="auto"/>
        <w:ind w:firstLine="2001" w:firstLineChars="445"/>
        <w:rPr>
          <w:rFonts w:hint="eastAsia" w:ascii="宋体" w:hAnsi="宋体"/>
          <w:b/>
          <w:color w:val="000000"/>
          <w:spacing w:val="4"/>
          <w:sz w:val="44"/>
          <w:szCs w:val="44"/>
        </w:rPr>
      </w:pPr>
    </w:p>
    <w:p w14:paraId="088ADF57">
      <w:pPr>
        <w:spacing w:line="360" w:lineRule="auto"/>
        <w:ind w:firstLine="2001" w:firstLineChars="445"/>
        <w:rPr>
          <w:rFonts w:hint="eastAsia" w:ascii="宋体" w:hAnsi="宋体"/>
          <w:b/>
          <w:color w:val="000000"/>
          <w:spacing w:val="4"/>
          <w:sz w:val="44"/>
          <w:szCs w:val="44"/>
        </w:rPr>
      </w:pPr>
    </w:p>
    <w:p w14:paraId="64C1792A">
      <w:pPr>
        <w:spacing w:line="360" w:lineRule="auto"/>
        <w:ind w:firstLine="2001" w:firstLineChars="445"/>
        <w:rPr>
          <w:rFonts w:hint="eastAsia" w:ascii="宋体" w:hAnsi="宋体"/>
          <w:b/>
          <w:color w:val="000000"/>
          <w:spacing w:val="4"/>
          <w:sz w:val="44"/>
          <w:szCs w:val="44"/>
        </w:rPr>
      </w:pPr>
    </w:p>
    <w:p w14:paraId="07436342">
      <w:pPr>
        <w:spacing w:line="360" w:lineRule="auto"/>
        <w:ind w:firstLine="2001" w:firstLineChars="445"/>
        <w:rPr>
          <w:rFonts w:hint="eastAsia" w:ascii="宋体" w:hAnsi="宋体"/>
          <w:b/>
          <w:color w:val="000000"/>
          <w:spacing w:val="4"/>
          <w:sz w:val="44"/>
          <w:szCs w:val="44"/>
        </w:rPr>
      </w:pPr>
    </w:p>
    <w:p w14:paraId="4E7961AA">
      <w:pPr>
        <w:spacing w:line="360" w:lineRule="auto"/>
        <w:ind w:firstLine="2001" w:firstLineChars="445"/>
        <w:rPr>
          <w:rFonts w:hint="eastAsia" w:ascii="宋体" w:hAnsi="宋体"/>
          <w:b/>
          <w:color w:val="000000"/>
          <w:spacing w:val="4"/>
          <w:sz w:val="44"/>
          <w:szCs w:val="44"/>
        </w:rPr>
      </w:pPr>
    </w:p>
    <w:p w14:paraId="444E6C98">
      <w:pPr>
        <w:spacing w:line="360" w:lineRule="auto"/>
        <w:ind w:firstLine="2001" w:firstLineChars="445"/>
        <w:rPr>
          <w:rFonts w:hint="eastAsia" w:ascii="宋体" w:hAnsi="宋体"/>
          <w:b/>
          <w:color w:val="000000"/>
          <w:spacing w:val="4"/>
          <w:sz w:val="44"/>
          <w:szCs w:val="44"/>
        </w:rPr>
      </w:pPr>
    </w:p>
    <w:p w14:paraId="5D5A8CEE">
      <w:pPr>
        <w:spacing w:line="360" w:lineRule="auto"/>
        <w:ind w:firstLine="2001" w:firstLineChars="445"/>
        <w:rPr>
          <w:rFonts w:hint="eastAsia" w:ascii="宋体" w:hAnsi="宋体"/>
          <w:b/>
          <w:color w:val="000000"/>
          <w:spacing w:val="4"/>
          <w:sz w:val="44"/>
          <w:szCs w:val="44"/>
        </w:rPr>
      </w:pPr>
    </w:p>
    <w:p w14:paraId="48F23993">
      <w:pPr>
        <w:spacing w:line="360" w:lineRule="auto"/>
        <w:ind w:firstLine="2001" w:firstLineChars="445"/>
        <w:rPr>
          <w:rFonts w:hint="eastAsia" w:ascii="宋体" w:hAnsi="宋体"/>
          <w:b/>
          <w:color w:val="000000"/>
          <w:spacing w:val="4"/>
          <w:sz w:val="44"/>
          <w:szCs w:val="44"/>
        </w:rPr>
      </w:pPr>
    </w:p>
    <w:p w14:paraId="46FE0817">
      <w:pPr>
        <w:spacing w:line="360" w:lineRule="auto"/>
        <w:ind w:firstLine="2001" w:firstLineChars="445"/>
        <w:rPr>
          <w:rFonts w:hint="eastAsia" w:ascii="宋体" w:hAnsi="宋体"/>
          <w:b/>
          <w:color w:val="000000"/>
          <w:spacing w:val="4"/>
          <w:sz w:val="44"/>
          <w:szCs w:val="44"/>
        </w:rPr>
      </w:pPr>
    </w:p>
    <w:p w14:paraId="7B7128BD">
      <w:pPr>
        <w:spacing w:line="360" w:lineRule="auto"/>
        <w:ind w:firstLine="2001" w:firstLineChars="445"/>
        <w:rPr>
          <w:rFonts w:hint="eastAsia" w:ascii="宋体" w:hAnsi="宋体"/>
          <w:b/>
          <w:color w:val="000000"/>
          <w:spacing w:val="4"/>
          <w:sz w:val="44"/>
          <w:szCs w:val="44"/>
        </w:rPr>
      </w:pPr>
    </w:p>
    <w:p w14:paraId="687B3084">
      <w:pPr>
        <w:spacing w:line="360" w:lineRule="auto"/>
        <w:ind w:firstLine="2001" w:firstLineChars="445"/>
        <w:rPr>
          <w:rFonts w:hint="eastAsia" w:ascii="宋体" w:hAnsi="宋体"/>
          <w:b/>
          <w:color w:val="000000"/>
          <w:spacing w:val="4"/>
          <w:sz w:val="44"/>
          <w:szCs w:val="44"/>
        </w:rPr>
      </w:pPr>
    </w:p>
    <w:p w14:paraId="1A3C7D1A">
      <w:pPr>
        <w:spacing w:line="360" w:lineRule="auto"/>
        <w:ind w:firstLine="2001" w:firstLineChars="445"/>
        <w:rPr>
          <w:rFonts w:hint="eastAsia" w:ascii="宋体" w:hAnsi="宋体"/>
          <w:b/>
          <w:color w:val="000000"/>
          <w:spacing w:val="4"/>
          <w:sz w:val="44"/>
          <w:szCs w:val="44"/>
        </w:rPr>
      </w:pPr>
    </w:p>
    <w:p w14:paraId="6B1E7173">
      <w:pPr>
        <w:spacing w:line="360" w:lineRule="auto"/>
        <w:ind w:firstLine="2001" w:firstLineChars="445"/>
        <w:rPr>
          <w:rFonts w:hint="eastAsia" w:ascii="宋体" w:hAnsi="宋体"/>
          <w:b/>
          <w:color w:val="000000"/>
          <w:spacing w:val="4"/>
          <w:sz w:val="44"/>
          <w:szCs w:val="44"/>
        </w:rPr>
      </w:pPr>
    </w:p>
    <w:p w14:paraId="6F402375">
      <w:pPr>
        <w:spacing w:line="360" w:lineRule="auto"/>
        <w:rPr>
          <w:rFonts w:hint="eastAsia" w:ascii="宋体" w:hAnsi="宋体"/>
          <w:b/>
          <w:color w:val="000000"/>
          <w:spacing w:val="4"/>
          <w:sz w:val="44"/>
          <w:szCs w:val="44"/>
        </w:rPr>
      </w:pP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AB3BAF3">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int="eastAsia" w:hAnsi="宋体"/>
          <w:bCs/>
          <w:sz w:val="24"/>
        </w:rPr>
      </w:pPr>
    </w:p>
    <w:p w14:paraId="7A603F00">
      <w:pPr>
        <w:tabs>
          <w:tab w:val="left" w:pos="210"/>
          <w:tab w:val="left" w:pos="840"/>
          <w:tab w:val="left" w:pos="1155"/>
        </w:tabs>
        <w:spacing w:line="440" w:lineRule="exact"/>
        <w:ind w:left="420" w:leftChars="200" w:firstLine="420" w:firstLineChars="175"/>
        <w:rPr>
          <w:rFonts w:hint="eastAsia" w:hAnsi="宋体"/>
          <w:bCs/>
          <w:sz w:val="24"/>
        </w:rPr>
      </w:pPr>
    </w:p>
    <w:p w14:paraId="595DD2DE">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hint="eastAsia"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9B8F13A">
      <w:pPr>
        <w:spacing w:before="156" w:beforeLines="50" w:line="360" w:lineRule="auto"/>
        <w:rPr>
          <w:rFonts w:hint="eastAsia" w:ascii="宋体" w:hAnsi="宋体"/>
          <w:b/>
          <w:kern w:val="0"/>
          <w:szCs w:val="21"/>
        </w:rPr>
      </w:pPr>
    </w:p>
    <w:p w14:paraId="070B21CC">
      <w:pPr>
        <w:spacing w:line="360" w:lineRule="auto"/>
        <w:rPr>
          <w:rFonts w:hint="eastAsia" w:ascii="宋体" w:hAnsi="宋体"/>
          <w:szCs w:val="21"/>
        </w:rPr>
      </w:pPr>
    </w:p>
    <w:p w14:paraId="511C4CC6">
      <w:pPr>
        <w:spacing w:line="360" w:lineRule="auto"/>
        <w:rPr>
          <w:rFonts w:hint="eastAsia"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hint="eastAsia"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618C84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64792E93">
      <w:pPr>
        <w:rPr>
          <w:color w:val="000000"/>
        </w:rPr>
      </w:pPr>
      <w:r>
        <w:rPr>
          <w:rFonts w:hint="eastAsia"/>
          <w:color w:val="000000"/>
        </w:rPr>
        <w:t>附件2</w:t>
      </w:r>
    </w:p>
    <w:p w14:paraId="17FC9BD1">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2F01E882">
      <w:pPr>
        <w:spacing w:line="360" w:lineRule="auto"/>
        <w:ind w:firstLine="480" w:firstLineChars="200"/>
        <w:rPr>
          <w:color w:val="000000"/>
          <w:sz w:val="24"/>
        </w:rPr>
      </w:pPr>
    </w:p>
    <w:p w14:paraId="49D27257">
      <w:pPr>
        <w:rPr>
          <w:color w:val="000000"/>
        </w:rPr>
      </w:pPr>
      <w:r>
        <w:rPr>
          <w:rFonts w:hint="eastAsia"/>
          <w:color w:val="000000"/>
        </w:rPr>
        <w:t>附件3</w:t>
      </w:r>
    </w:p>
    <w:p w14:paraId="297940DC">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hint="eastAsia" w:ascii="宋体" w:hAnsi="宋体" w:cs="宋体"/>
          <w:bCs/>
          <w:sz w:val="28"/>
          <w:szCs w:val="28"/>
        </w:rPr>
      </w:pPr>
    </w:p>
    <w:p w14:paraId="181807C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22"/>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hint="eastAsia" w:ascii="宋体" w:hAnsi="宋体" w:cs="宋体"/>
                <w:sz w:val="24"/>
                <w:szCs w:val="22"/>
              </w:rPr>
            </w:pPr>
            <w:r>
              <w:rPr>
                <w:rFonts w:hint="eastAsia" w:ascii="宋体" w:hAnsi="宋体" w:cs="宋体"/>
                <w:sz w:val="24"/>
                <w:szCs w:val="22"/>
              </w:rPr>
              <w:t>项目总报价</w:t>
            </w:r>
          </w:p>
          <w:p w14:paraId="083810C8">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1DA42B4A">
            <w:pPr>
              <w:widowControl/>
              <w:topLinePunct/>
              <w:spacing w:before="4" w:line="360" w:lineRule="auto"/>
              <w:rPr>
                <w:rFonts w:hint="default" w:ascii="宋体" w:hAnsi="宋体" w:cs="宋体"/>
                <w:sz w:val="24"/>
                <w:szCs w:val="22"/>
                <w:lang w:val="en-US"/>
              </w:rPr>
            </w:pPr>
            <w:r>
              <w:rPr>
                <w:rFonts w:hint="eastAsia" w:ascii="宋体" w:hAnsi="宋体" w:cs="宋体"/>
                <w:sz w:val="24"/>
                <w:lang w:val="en-US" w:eastAsia="zh-CN"/>
              </w:rPr>
              <w:t>合同签订后_________内</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785A02D9">
            <w:pPr>
              <w:widowControl/>
              <w:topLinePunct/>
              <w:spacing w:before="4" w:line="360" w:lineRule="auto"/>
              <w:rPr>
                <w:rFonts w:hint="eastAsia"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hint="eastAsia"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hint="eastAsia" w:ascii="宋体" w:hAnsi="宋体" w:cs="宋体"/>
                <w:sz w:val="24"/>
                <w:szCs w:val="22"/>
              </w:rPr>
            </w:pPr>
            <w:r>
              <w:rPr>
                <w:rFonts w:hint="eastAsia" w:ascii="宋体" w:hAnsi="宋体" w:cs="宋体"/>
                <w:sz w:val="24"/>
                <w:szCs w:val="22"/>
              </w:rPr>
              <w:t>投标文件</w:t>
            </w:r>
          </w:p>
          <w:p w14:paraId="13978F82">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hint="eastAsia"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244BFDAD">
      <w:pPr>
        <w:rPr>
          <w:color w:val="000000"/>
        </w:rPr>
      </w:pPr>
      <w:r>
        <w:rPr>
          <w:rFonts w:hint="eastAsia"/>
          <w:color w:val="000000"/>
        </w:rPr>
        <w:t>附件4</w:t>
      </w:r>
    </w:p>
    <w:p w14:paraId="124FAEF1">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73FED1C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4445" t="5080" r="5715" b="1079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0F0B0407">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0F0B0407">
                      <w:pPr>
                        <w:jc w:val="center"/>
                      </w:pPr>
                    </w:p>
                  </w:txbxContent>
                </v:textbox>
              </v:shape>
            </w:pict>
          </mc:Fallback>
        </mc:AlternateConten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5080" t="4445" r="5080" b="1206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6A1D5358">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6A1D5358">
                      <w:pPr>
                        <w:jc w:val="center"/>
                      </w:pPr>
                    </w:p>
                  </w:txbxContent>
                </v:textbox>
              </v:shape>
            </w:pict>
          </mc:Fallback>
        </mc:AlternateConten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p w14:paraId="678347EE">
      <w:pPr>
        <w:rPr>
          <w:rFonts w:hint="eastAsia" w:ascii="宋体" w:hAnsi="宋体" w:eastAsia="宋体"/>
          <w:color w:val="000000"/>
          <w:spacing w:val="4"/>
          <w:sz w:val="24"/>
          <w:lang w:eastAsia="zh-CN"/>
        </w:rPr>
      </w:pPr>
      <w:r>
        <w:rPr>
          <w:rFonts w:hint="eastAsia" w:ascii="宋体" w:hAnsi="宋体"/>
          <w:color w:val="000000"/>
          <w:spacing w:val="4"/>
          <w:sz w:val="24"/>
        </w:rPr>
        <w:t>附件</w:t>
      </w:r>
      <w:r>
        <w:rPr>
          <w:rFonts w:hint="eastAsia" w:ascii="宋体" w:hAnsi="宋体"/>
          <w:color w:val="000000"/>
          <w:spacing w:val="4"/>
          <w:sz w:val="24"/>
          <w:lang w:val="en-US" w:eastAsia="zh-CN"/>
        </w:rPr>
        <w:t>7</w:t>
      </w:r>
    </w:p>
    <w:p w14:paraId="5B18A6F0">
      <w:pPr>
        <w:ind w:firstLine="2530" w:firstLineChars="700"/>
        <w:rPr>
          <w:rFonts w:hint="eastAsia" w:ascii="宋体" w:hAnsi="宋体"/>
          <w:b/>
          <w:bCs/>
          <w:color w:val="000000"/>
          <w:sz w:val="36"/>
          <w:szCs w:val="36"/>
        </w:rPr>
      </w:pPr>
      <w:r>
        <w:rPr>
          <w:rFonts w:hint="eastAsia" w:ascii="宋体" w:hAnsi="宋体"/>
          <w:b/>
          <w:bCs/>
          <w:color w:val="000000"/>
          <w:sz w:val="36"/>
          <w:szCs w:val="36"/>
        </w:rPr>
        <w:t>技术规格响应/偏离表</w:t>
      </w:r>
    </w:p>
    <w:p w14:paraId="43A5D189">
      <w:pPr>
        <w:rPr>
          <w:rFonts w:hint="eastAsia" w:ascii="宋体"/>
          <w:color w:val="000000"/>
          <w:spacing w:val="19"/>
          <w:kern w:val="0"/>
          <w:sz w:val="24"/>
          <w:szCs w:val="25"/>
        </w:rPr>
      </w:pPr>
    </w:p>
    <w:p w14:paraId="43BEFB38">
      <w:pPr>
        <w:rPr>
          <w:rFonts w:hint="eastAsia" w:ascii="宋体"/>
          <w:color w:val="000000"/>
          <w:spacing w:val="19"/>
          <w:kern w:val="0"/>
          <w:sz w:val="24"/>
          <w:szCs w:val="25"/>
          <w:u w:val="single"/>
        </w:rPr>
      </w:pPr>
      <w:r>
        <w:rPr>
          <w:rFonts w:hint="eastAsia" w:ascii="宋体"/>
          <w:color w:val="000000"/>
          <w:spacing w:val="19"/>
          <w:kern w:val="0"/>
          <w:sz w:val="24"/>
          <w:szCs w:val="25"/>
        </w:rPr>
        <w:t>招标项目名称：</w:t>
      </w:r>
      <w:r>
        <w:rPr>
          <w:rFonts w:hint="eastAsia" w:ascii="宋体"/>
          <w:color w:val="000000"/>
          <w:spacing w:val="19"/>
          <w:kern w:val="0"/>
          <w:sz w:val="24"/>
          <w:szCs w:val="25"/>
          <w:u w:val="single"/>
        </w:rPr>
        <w:t xml:space="preserve">       </w:t>
      </w:r>
      <w:r>
        <w:rPr>
          <w:rFonts w:hint="eastAsia" w:ascii="宋体"/>
          <w:color w:val="000000"/>
          <w:spacing w:val="19"/>
          <w:kern w:val="0"/>
          <w:sz w:val="24"/>
          <w:szCs w:val="25"/>
          <w:u w:val="single"/>
          <w:lang w:val="en-US" w:eastAsia="zh-CN"/>
        </w:rPr>
        <w:t xml:space="preserve">       </w:t>
      </w:r>
      <w:r>
        <w:rPr>
          <w:rFonts w:hint="eastAsia" w:ascii="宋体"/>
          <w:color w:val="000000"/>
          <w:spacing w:val="19"/>
          <w:kern w:val="0"/>
          <w:sz w:val="24"/>
          <w:szCs w:val="25"/>
          <w:u w:val="single"/>
        </w:rPr>
        <w:t xml:space="preserve">   </w:t>
      </w:r>
      <w:r>
        <w:rPr>
          <w:rFonts w:hint="eastAsia" w:ascii="宋体"/>
          <w:color w:val="000000"/>
          <w:spacing w:val="19"/>
          <w:kern w:val="0"/>
          <w:sz w:val="24"/>
          <w:szCs w:val="25"/>
        </w:rPr>
        <w:t xml:space="preserve">  </w:t>
      </w:r>
      <w:r>
        <w:rPr>
          <w:rFonts w:hint="eastAsia" w:ascii="宋体"/>
          <w:color w:val="000000"/>
          <w:spacing w:val="19"/>
          <w:kern w:val="0"/>
          <w:sz w:val="24"/>
          <w:szCs w:val="25"/>
          <w:lang w:val="en-US" w:eastAsia="zh-CN"/>
        </w:rPr>
        <w:t xml:space="preserve">    </w:t>
      </w:r>
      <w:r>
        <w:rPr>
          <w:rFonts w:hint="eastAsia" w:ascii="宋体"/>
          <w:color w:val="000000"/>
          <w:spacing w:val="19"/>
          <w:kern w:val="0"/>
          <w:sz w:val="24"/>
          <w:szCs w:val="25"/>
        </w:rPr>
        <w:t>招标项目编号：</w:t>
      </w:r>
      <w:r>
        <w:rPr>
          <w:rFonts w:hint="eastAsia" w:ascii="宋体"/>
          <w:color w:val="000000"/>
          <w:spacing w:val="19"/>
          <w:kern w:val="0"/>
          <w:sz w:val="24"/>
          <w:szCs w:val="25"/>
          <w:u w:val="single"/>
        </w:rPr>
        <w:t xml:space="preserve">       </w:t>
      </w:r>
      <w:r>
        <w:rPr>
          <w:rFonts w:hint="eastAsia" w:ascii="宋体"/>
          <w:color w:val="000000"/>
          <w:spacing w:val="19"/>
          <w:kern w:val="0"/>
          <w:sz w:val="24"/>
          <w:szCs w:val="25"/>
          <w:u w:val="single"/>
          <w:lang w:val="en-US" w:eastAsia="zh-CN"/>
        </w:rPr>
        <w:t xml:space="preserve">       </w:t>
      </w:r>
      <w:r>
        <w:rPr>
          <w:rFonts w:hint="eastAsia" w:ascii="宋体"/>
          <w:color w:val="000000"/>
          <w:spacing w:val="19"/>
          <w:kern w:val="0"/>
          <w:sz w:val="24"/>
          <w:szCs w:val="25"/>
          <w:u w:val="single"/>
        </w:rPr>
        <w:t xml:space="preserve">           </w:t>
      </w:r>
      <w:r>
        <w:rPr>
          <w:rFonts w:hint="eastAsia" w:ascii="宋体"/>
          <w:color w:val="000000"/>
          <w:spacing w:val="19"/>
          <w:kern w:val="0"/>
          <w:sz w:val="24"/>
          <w:szCs w:val="25"/>
        </w:rPr>
        <w:t xml:space="preserve"> </w:t>
      </w:r>
    </w:p>
    <w:p w14:paraId="2EE10017">
      <w:pPr>
        <w:rPr>
          <w:rFonts w:hint="eastAsia" w:ascii="宋体"/>
          <w:color w:val="000000"/>
          <w:spacing w:val="19"/>
          <w:kern w:val="0"/>
          <w:sz w:val="24"/>
          <w:szCs w:val="25"/>
          <w:u w:val="single"/>
        </w:rPr>
      </w:pPr>
    </w:p>
    <w:tbl>
      <w:tblPr>
        <w:tblStyle w:val="2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0"/>
        <w:gridCol w:w="1260"/>
        <w:gridCol w:w="1254"/>
      </w:tblGrid>
      <w:tr w14:paraId="4E714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69" w:hRule="atLeast"/>
        </w:trPr>
        <w:tc>
          <w:tcPr>
            <w:tcW w:w="989" w:type="dxa"/>
            <w:noWrap w:val="0"/>
            <w:vAlign w:val="center"/>
          </w:tcPr>
          <w:p w14:paraId="6FAC2757">
            <w:pPr>
              <w:ind w:left="-90"/>
              <w:jc w:val="center"/>
              <w:rPr>
                <w:rFonts w:ascii="宋体"/>
                <w:color w:val="000000"/>
                <w:kern w:val="0"/>
                <w:sz w:val="24"/>
              </w:rPr>
            </w:pPr>
            <w:r>
              <w:rPr>
                <w:rFonts w:hint="eastAsia" w:ascii="宋体"/>
                <w:color w:val="000000"/>
                <w:kern w:val="0"/>
                <w:sz w:val="24"/>
              </w:rPr>
              <w:t>序号</w:t>
            </w:r>
          </w:p>
        </w:tc>
        <w:tc>
          <w:tcPr>
            <w:tcW w:w="1266" w:type="dxa"/>
            <w:noWrap w:val="0"/>
            <w:vAlign w:val="center"/>
          </w:tcPr>
          <w:p w14:paraId="52E318E9">
            <w:pPr>
              <w:ind w:left="-90"/>
              <w:jc w:val="center"/>
              <w:rPr>
                <w:rFonts w:ascii="宋体"/>
                <w:color w:val="000000"/>
                <w:kern w:val="0"/>
                <w:sz w:val="24"/>
              </w:rPr>
            </w:pPr>
            <w:r>
              <w:rPr>
                <w:rFonts w:hint="eastAsia" w:ascii="宋体"/>
                <w:color w:val="000000"/>
                <w:kern w:val="0"/>
                <w:sz w:val="24"/>
              </w:rPr>
              <w:t>招标文件</w:t>
            </w:r>
          </w:p>
          <w:p w14:paraId="3BFC5F95">
            <w:pPr>
              <w:ind w:left="-90"/>
              <w:jc w:val="center"/>
              <w:rPr>
                <w:rFonts w:ascii="宋体"/>
                <w:color w:val="000000"/>
                <w:kern w:val="0"/>
                <w:sz w:val="24"/>
              </w:rPr>
            </w:pPr>
            <w:r>
              <w:rPr>
                <w:rFonts w:hint="eastAsia" w:ascii="宋体"/>
                <w:color w:val="000000"/>
                <w:kern w:val="0"/>
                <w:sz w:val="24"/>
              </w:rPr>
              <w:t>条目号</w:t>
            </w:r>
          </w:p>
        </w:tc>
        <w:tc>
          <w:tcPr>
            <w:tcW w:w="1813" w:type="dxa"/>
            <w:noWrap w:val="0"/>
            <w:vAlign w:val="center"/>
          </w:tcPr>
          <w:p w14:paraId="673F1F84">
            <w:pPr>
              <w:ind w:left="-90"/>
              <w:jc w:val="center"/>
              <w:rPr>
                <w:rFonts w:ascii="宋体"/>
                <w:color w:val="000000"/>
                <w:kern w:val="0"/>
                <w:sz w:val="24"/>
              </w:rPr>
            </w:pPr>
            <w:r>
              <w:rPr>
                <w:rFonts w:hint="eastAsia" w:ascii="宋体"/>
                <w:color w:val="000000"/>
                <w:kern w:val="0"/>
                <w:sz w:val="24"/>
              </w:rPr>
              <w:t>招标规格</w:t>
            </w:r>
          </w:p>
        </w:tc>
        <w:tc>
          <w:tcPr>
            <w:tcW w:w="1980" w:type="dxa"/>
            <w:noWrap w:val="0"/>
            <w:vAlign w:val="center"/>
          </w:tcPr>
          <w:p w14:paraId="178E14E8">
            <w:pPr>
              <w:ind w:left="-90"/>
              <w:jc w:val="center"/>
              <w:rPr>
                <w:rFonts w:ascii="宋体"/>
                <w:color w:val="000000"/>
                <w:kern w:val="0"/>
                <w:sz w:val="24"/>
              </w:rPr>
            </w:pPr>
            <w:r>
              <w:rPr>
                <w:rFonts w:hint="eastAsia" w:ascii="宋体"/>
                <w:color w:val="000000"/>
                <w:kern w:val="0"/>
                <w:sz w:val="24"/>
              </w:rPr>
              <w:t>投标规格</w:t>
            </w:r>
          </w:p>
        </w:tc>
        <w:tc>
          <w:tcPr>
            <w:tcW w:w="1260" w:type="dxa"/>
            <w:noWrap w:val="0"/>
            <w:vAlign w:val="center"/>
          </w:tcPr>
          <w:p w14:paraId="17714F8E">
            <w:pPr>
              <w:ind w:left="-90"/>
              <w:jc w:val="center"/>
              <w:rPr>
                <w:rFonts w:ascii="宋体"/>
                <w:color w:val="000000"/>
                <w:kern w:val="0"/>
                <w:sz w:val="24"/>
              </w:rPr>
            </w:pPr>
            <w:r>
              <w:rPr>
                <w:rFonts w:hint="eastAsia" w:ascii="宋体"/>
                <w:color w:val="000000"/>
                <w:kern w:val="0"/>
                <w:sz w:val="24"/>
              </w:rPr>
              <w:t>响应/偏离</w:t>
            </w:r>
          </w:p>
        </w:tc>
        <w:tc>
          <w:tcPr>
            <w:tcW w:w="1254" w:type="dxa"/>
            <w:noWrap w:val="0"/>
            <w:vAlign w:val="center"/>
          </w:tcPr>
          <w:p w14:paraId="5085DF99">
            <w:pPr>
              <w:ind w:left="-90"/>
              <w:jc w:val="center"/>
              <w:rPr>
                <w:rFonts w:ascii="宋体"/>
                <w:color w:val="000000"/>
                <w:kern w:val="0"/>
                <w:sz w:val="24"/>
              </w:rPr>
            </w:pPr>
            <w:r>
              <w:rPr>
                <w:rFonts w:hint="eastAsia" w:ascii="宋体"/>
                <w:color w:val="000000"/>
                <w:kern w:val="0"/>
                <w:sz w:val="24"/>
              </w:rPr>
              <w:t>说明</w:t>
            </w:r>
          </w:p>
        </w:tc>
      </w:tr>
      <w:tr w14:paraId="57DC8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trPr>
        <w:tc>
          <w:tcPr>
            <w:tcW w:w="989" w:type="dxa"/>
            <w:noWrap w:val="0"/>
            <w:vAlign w:val="top"/>
          </w:tcPr>
          <w:p w14:paraId="2B8F5D82">
            <w:pPr>
              <w:ind w:left="-90"/>
              <w:jc w:val="left"/>
              <w:rPr>
                <w:rFonts w:ascii="Mincho"/>
                <w:color w:val="000000"/>
                <w:kern w:val="0"/>
                <w:sz w:val="20"/>
              </w:rPr>
            </w:pPr>
          </w:p>
        </w:tc>
        <w:tc>
          <w:tcPr>
            <w:tcW w:w="1266" w:type="dxa"/>
            <w:noWrap w:val="0"/>
            <w:vAlign w:val="top"/>
          </w:tcPr>
          <w:p w14:paraId="5922566C">
            <w:pPr>
              <w:ind w:left="-90"/>
              <w:jc w:val="left"/>
              <w:rPr>
                <w:rFonts w:ascii="Mincho"/>
                <w:color w:val="000000"/>
                <w:kern w:val="0"/>
                <w:sz w:val="20"/>
              </w:rPr>
            </w:pPr>
          </w:p>
        </w:tc>
        <w:tc>
          <w:tcPr>
            <w:tcW w:w="1813" w:type="dxa"/>
            <w:noWrap w:val="0"/>
            <w:vAlign w:val="top"/>
          </w:tcPr>
          <w:p w14:paraId="38B046CD">
            <w:pPr>
              <w:ind w:left="-90"/>
              <w:jc w:val="left"/>
              <w:rPr>
                <w:rFonts w:ascii="Mincho"/>
                <w:color w:val="000000"/>
                <w:kern w:val="0"/>
                <w:sz w:val="20"/>
              </w:rPr>
            </w:pPr>
          </w:p>
        </w:tc>
        <w:tc>
          <w:tcPr>
            <w:tcW w:w="1980" w:type="dxa"/>
            <w:noWrap w:val="0"/>
            <w:vAlign w:val="top"/>
          </w:tcPr>
          <w:p w14:paraId="0B160F9E">
            <w:pPr>
              <w:ind w:left="-90"/>
              <w:jc w:val="left"/>
              <w:rPr>
                <w:rFonts w:ascii="Mincho"/>
                <w:color w:val="000000"/>
                <w:kern w:val="0"/>
                <w:sz w:val="20"/>
              </w:rPr>
            </w:pPr>
          </w:p>
        </w:tc>
        <w:tc>
          <w:tcPr>
            <w:tcW w:w="1260" w:type="dxa"/>
            <w:noWrap w:val="0"/>
            <w:vAlign w:val="top"/>
          </w:tcPr>
          <w:p w14:paraId="1D772063">
            <w:pPr>
              <w:ind w:left="-90"/>
              <w:jc w:val="left"/>
              <w:rPr>
                <w:rFonts w:ascii="Mincho"/>
                <w:color w:val="000000"/>
                <w:kern w:val="0"/>
                <w:sz w:val="20"/>
              </w:rPr>
            </w:pPr>
          </w:p>
        </w:tc>
        <w:tc>
          <w:tcPr>
            <w:tcW w:w="1254" w:type="dxa"/>
            <w:noWrap w:val="0"/>
            <w:vAlign w:val="top"/>
          </w:tcPr>
          <w:p w14:paraId="10619D13">
            <w:pPr>
              <w:ind w:left="-90"/>
              <w:jc w:val="left"/>
              <w:rPr>
                <w:rFonts w:ascii="Mincho"/>
                <w:color w:val="000000"/>
                <w:kern w:val="0"/>
                <w:sz w:val="20"/>
              </w:rPr>
            </w:pPr>
          </w:p>
        </w:tc>
      </w:tr>
      <w:tr w14:paraId="092A6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trPr>
        <w:tc>
          <w:tcPr>
            <w:tcW w:w="989" w:type="dxa"/>
            <w:noWrap w:val="0"/>
            <w:vAlign w:val="top"/>
          </w:tcPr>
          <w:p w14:paraId="34B2907C">
            <w:pPr>
              <w:ind w:left="-90"/>
              <w:jc w:val="left"/>
              <w:rPr>
                <w:rFonts w:ascii="Mincho"/>
                <w:color w:val="000000"/>
                <w:kern w:val="0"/>
                <w:sz w:val="20"/>
              </w:rPr>
            </w:pPr>
          </w:p>
        </w:tc>
        <w:tc>
          <w:tcPr>
            <w:tcW w:w="1266" w:type="dxa"/>
            <w:noWrap w:val="0"/>
            <w:vAlign w:val="top"/>
          </w:tcPr>
          <w:p w14:paraId="31641F6C">
            <w:pPr>
              <w:ind w:left="-90"/>
              <w:jc w:val="left"/>
              <w:rPr>
                <w:rFonts w:ascii="Mincho"/>
                <w:color w:val="000000"/>
                <w:kern w:val="0"/>
                <w:sz w:val="20"/>
              </w:rPr>
            </w:pPr>
          </w:p>
        </w:tc>
        <w:tc>
          <w:tcPr>
            <w:tcW w:w="1813" w:type="dxa"/>
            <w:noWrap w:val="0"/>
            <w:vAlign w:val="top"/>
          </w:tcPr>
          <w:p w14:paraId="4B3DD6B5">
            <w:pPr>
              <w:ind w:left="-90" w:right="-288" w:rightChars="-137"/>
              <w:jc w:val="left"/>
              <w:rPr>
                <w:rFonts w:ascii="Mincho"/>
                <w:color w:val="000000"/>
                <w:kern w:val="0"/>
                <w:sz w:val="20"/>
              </w:rPr>
            </w:pPr>
          </w:p>
        </w:tc>
        <w:tc>
          <w:tcPr>
            <w:tcW w:w="1980" w:type="dxa"/>
            <w:noWrap w:val="0"/>
            <w:vAlign w:val="top"/>
          </w:tcPr>
          <w:p w14:paraId="531B1E44">
            <w:pPr>
              <w:ind w:left="-90"/>
              <w:jc w:val="left"/>
              <w:rPr>
                <w:rFonts w:ascii="Mincho"/>
                <w:color w:val="000000"/>
                <w:kern w:val="0"/>
                <w:sz w:val="20"/>
              </w:rPr>
            </w:pPr>
          </w:p>
        </w:tc>
        <w:tc>
          <w:tcPr>
            <w:tcW w:w="1260" w:type="dxa"/>
            <w:noWrap w:val="0"/>
            <w:vAlign w:val="top"/>
          </w:tcPr>
          <w:p w14:paraId="532BC0C6">
            <w:pPr>
              <w:ind w:left="-90"/>
              <w:jc w:val="left"/>
              <w:rPr>
                <w:rFonts w:ascii="Mincho"/>
                <w:color w:val="000000"/>
                <w:kern w:val="0"/>
                <w:sz w:val="20"/>
              </w:rPr>
            </w:pPr>
          </w:p>
        </w:tc>
        <w:tc>
          <w:tcPr>
            <w:tcW w:w="1254" w:type="dxa"/>
            <w:noWrap w:val="0"/>
            <w:vAlign w:val="top"/>
          </w:tcPr>
          <w:p w14:paraId="65DD946A">
            <w:pPr>
              <w:ind w:left="-90"/>
              <w:jc w:val="left"/>
              <w:rPr>
                <w:rFonts w:ascii="Mincho"/>
                <w:color w:val="000000"/>
                <w:kern w:val="0"/>
                <w:sz w:val="20"/>
              </w:rPr>
            </w:pPr>
          </w:p>
        </w:tc>
      </w:tr>
      <w:tr w14:paraId="34325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trPr>
        <w:tc>
          <w:tcPr>
            <w:tcW w:w="989" w:type="dxa"/>
            <w:noWrap w:val="0"/>
            <w:vAlign w:val="top"/>
          </w:tcPr>
          <w:p w14:paraId="7DEBF72C">
            <w:pPr>
              <w:ind w:left="-90"/>
              <w:jc w:val="left"/>
              <w:rPr>
                <w:rFonts w:ascii="Mincho"/>
                <w:color w:val="000000"/>
                <w:kern w:val="0"/>
                <w:sz w:val="20"/>
              </w:rPr>
            </w:pPr>
          </w:p>
        </w:tc>
        <w:tc>
          <w:tcPr>
            <w:tcW w:w="1266" w:type="dxa"/>
            <w:noWrap w:val="0"/>
            <w:vAlign w:val="top"/>
          </w:tcPr>
          <w:p w14:paraId="5FD36566">
            <w:pPr>
              <w:ind w:left="-90"/>
              <w:jc w:val="left"/>
              <w:rPr>
                <w:rFonts w:ascii="Mincho"/>
                <w:color w:val="000000"/>
                <w:kern w:val="0"/>
                <w:sz w:val="20"/>
              </w:rPr>
            </w:pPr>
          </w:p>
        </w:tc>
        <w:tc>
          <w:tcPr>
            <w:tcW w:w="1813" w:type="dxa"/>
            <w:noWrap w:val="0"/>
            <w:vAlign w:val="top"/>
          </w:tcPr>
          <w:p w14:paraId="2D3E9BDA">
            <w:pPr>
              <w:ind w:left="-90"/>
              <w:jc w:val="left"/>
              <w:rPr>
                <w:rFonts w:ascii="Mincho"/>
                <w:color w:val="000000"/>
                <w:kern w:val="0"/>
                <w:sz w:val="20"/>
              </w:rPr>
            </w:pPr>
          </w:p>
        </w:tc>
        <w:tc>
          <w:tcPr>
            <w:tcW w:w="1980" w:type="dxa"/>
            <w:noWrap w:val="0"/>
            <w:vAlign w:val="top"/>
          </w:tcPr>
          <w:p w14:paraId="182A9828">
            <w:pPr>
              <w:ind w:left="-90"/>
              <w:jc w:val="left"/>
              <w:rPr>
                <w:rFonts w:ascii="Mincho"/>
                <w:color w:val="000000"/>
                <w:kern w:val="0"/>
                <w:sz w:val="20"/>
              </w:rPr>
            </w:pPr>
          </w:p>
        </w:tc>
        <w:tc>
          <w:tcPr>
            <w:tcW w:w="1260" w:type="dxa"/>
            <w:noWrap w:val="0"/>
            <w:vAlign w:val="top"/>
          </w:tcPr>
          <w:p w14:paraId="58D1DB31">
            <w:pPr>
              <w:ind w:left="-90"/>
              <w:jc w:val="left"/>
              <w:rPr>
                <w:rFonts w:ascii="Mincho"/>
                <w:color w:val="000000"/>
                <w:kern w:val="0"/>
                <w:sz w:val="20"/>
              </w:rPr>
            </w:pPr>
          </w:p>
        </w:tc>
        <w:tc>
          <w:tcPr>
            <w:tcW w:w="1254" w:type="dxa"/>
            <w:noWrap w:val="0"/>
            <w:vAlign w:val="top"/>
          </w:tcPr>
          <w:p w14:paraId="5DF760D2">
            <w:pPr>
              <w:ind w:left="-90"/>
              <w:jc w:val="left"/>
              <w:rPr>
                <w:rFonts w:ascii="Mincho"/>
                <w:color w:val="000000"/>
                <w:kern w:val="0"/>
                <w:sz w:val="20"/>
              </w:rPr>
            </w:pPr>
          </w:p>
        </w:tc>
      </w:tr>
      <w:tr w14:paraId="59626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trPr>
        <w:tc>
          <w:tcPr>
            <w:tcW w:w="989" w:type="dxa"/>
            <w:noWrap w:val="0"/>
            <w:vAlign w:val="top"/>
          </w:tcPr>
          <w:p w14:paraId="6FE2E250">
            <w:pPr>
              <w:ind w:left="-90"/>
              <w:jc w:val="left"/>
              <w:rPr>
                <w:rFonts w:ascii="Mincho"/>
                <w:color w:val="000000"/>
                <w:kern w:val="0"/>
                <w:sz w:val="20"/>
              </w:rPr>
            </w:pPr>
          </w:p>
        </w:tc>
        <w:tc>
          <w:tcPr>
            <w:tcW w:w="1266" w:type="dxa"/>
            <w:noWrap w:val="0"/>
            <w:vAlign w:val="top"/>
          </w:tcPr>
          <w:p w14:paraId="4A4E07B7">
            <w:pPr>
              <w:ind w:left="-90"/>
              <w:jc w:val="left"/>
              <w:rPr>
                <w:rFonts w:ascii="Mincho"/>
                <w:color w:val="000000"/>
                <w:kern w:val="0"/>
                <w:sz w:val="20"/>
              </w:rPr>
            </w:pPr>
          </w:p>
        </w:tc>
        <w:tc>
          <w:tcPr>
            <w:tcW w:w="1813" w:type="dxa"/>
            <w:noWrap w:val="0"/>
            <w:vAlign w:val="top"/>
          </w:tcPr>
          <w:p w14:paraId="769AC44B">
            <w:pPr>
              <w:ind w:left="-90"/>
              <w:jc w:val="left"/>
              <w:rPr>
                <w:rFonts w:ascii="Mincho"/>
                <w:color w:val="000000"/>
                <w:kern w:val="0"/>
                <w:sz w:val="20"/>
              </w:rPr>
            </w:pPr>
          </w:p>
        </w:tc>
        <w:tc>
          <w:tcPr>
            <w:tcW w:w="1980" w:type="dxa"/>
            <w:noWrap w:val="0"/>
            <w:vAlign w:val="top"/>
          </w:tcPr>
          <w:p w14:paraId="284E024C">
            <w:pPr>
              <w:ind w:left="-90"/>
              <w:jc w:val="left"/>
              <w:rPr>
                <w:rFonts w:ascii="Mincho"/>
                <w:color w:val="000000"/>
                <w:kern w:val="0"/>
                <w:sz w:val="20"/>
              </w:rPr>
            </w:pPr>
          </w:p>
        </w:tc>
        <w:tc>
          <w:tcPr>
            <w:tcW w:w="1260" w:type="dxa"/>
            <w:noWrap w:val="0"/>
            <w:vAlign w:val="top"/>
          </w:tcPr>
          <w:p w14:paraId="5D1ED4E9">
            <w:pPr>
              <w:ind w:left="-90"/>
              <w:jc w:val="left"/>
              <w:rPr>
                <w:rFonts w:ascii="Mincho"/>
                <w:color w:val="000000"/>
                <w:kern w:val="0"/>
                <w:sz w:val="20"/>
              </w:rPr>
            </w:pPr>
          </w:p>
        </w:tc>
        <w:tc>
          <w:tcPr>
            <w:tcW w:w="1254" w:type="dxa"/>
            <w:noWrap w:val="0"/>
            <w:vAlign w:val="top"/>
          </w:tcPr>
          <w:p w14:paraId="4B981EAE">
            <w:pPr>
              <w:ind w:left="-90"/>
              <w:jc w:val="left"/>
              <w:rPr>
                <w:rFonts w:ascii="Mincho"/>
                <w:color w:val="000000"/>
                <w:kern w:val="0"/>
                <w:sz w:val="20"/>
              </w:rPr>
            </w:pPr>
          </w:p>
        </w:tc>
      </w:tr>
      <w:tr w14:paraId="6567C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2" w:hRule="atLeast"/>
        </w:trPr>
        <w:tc>
          <w:tcPr>
            <w:tcW w:w="989" w:type="dxa"/>
            <w:noWrap w:val="0"/>
            <w:vAlign w:val="top"/>
          </w:tcPr>
          <w:p w14:paraId="2FC79EDF">
            <w:pPr>
              <w:ind w:left="-90"/>
              <w:jc w:val="left"/>
              <w:rPr>
                <w:rFonts w:ascii="Mincho"/>
                <w:color w:val="000000"/>
                <w:kern w:val="0"/>
                <w:sz w:val="20"/>
              </w:rPr>
            </w:pPr>
          </w:p>
        </w:tc>
        <w:tc>
          <w:tcPr>
            <w:tcW w:w="1266" w:type="dxa"/>
            <w:noWrap w:val="0"/>
            <w:vAlign w:val="top"/>
          </w:tcPr>
          <w:p w14:paraId="29CBBB24">
            <w:pPr>
              <w:ind w:left="-90"/>
              <w:jc w:val="left"/>
              <w:rPr>
                <w:rFonts w:ascii="Mincho"/>
                <w:color w:val="000000"/>
                <w:kern w:val="0"/>
                <w:sz w:val="20"/>
              </w:rPr>
            </w:pPr>
          </w:p>
        </w:tc>
        <w:tc>
          <w:tcPr>
            <w:tcW w:w="1813" w:type="dxa"/>
            <w:noWrap w:val="0"/>
            <w:vAlign w:val="top"/>
          </w:tcPr>
          <w:p w14:paraId="001D32E3">
            <w:pPr>
              <w:ind w:left="-90"/>
              <w:jc w:val="left"/>
              <w:rPr>
                <w:rFonts w:ascii="Mincho"/>
                <w:color w:val="000000"/>
                <w:kern w:val="0"/>
                <w:sz w:val="20"/>
              </w:rPr>
            </w:pPr>
          </w:p>
        </w:tc>
        <w:tc>
          <w:tcPr>
            <w:tcW w:w="1980" w:type="dxa"/>
            <w:noWrap w:val="0"/>
            <w:vAlign w:val="top"/>
          </w:tcPr>
          <w:p w14:paraId="41F0D966">
            <w:pPr>
              <w:ind w:left="-90"/>
              <w:jc w:val="left"/>
              <w:rPr>
                <w:rFonts w:ascii="Mincho"/>
                <w:color w:val="000000"/>
                <w:kern w:val="0"/>
                <w:sz w:val="20"/>
              </w:rPr>
            </w:pPr>
          </w:p>
        </w:tc>
        <w:tc>
          <w:tcPr>
            <w:tcW w:w="1260" w:type="dxa"/>
            <w:noWrap w:val="0"/>
            <w:vAlign w:val="top"/>
          </w:tcPr>
          <w:p w14:paraId="7C79BFDD">
            <w:pPr>
              <w:ind w:left="-90"/>
              <w:jc w:val="left"/>
              <w:rPr>
                <w:rFonts w:ascii="Mincho"/>
                <w:color w:val="000000"/>
                <w:kern w:val="0"/>
                <w:sz w:val="20"/>
              </w:rPr>
            </w:pPr>
          </w:p>
        </w:tc>
        <w:tc>
          <w:tcPr>
            <w:tcW w:w="1254" w:type="dxa"/>
            <w:noWrap w:val="0"/>
            <w:vAlign w:val="top"/>
          </w:tcPr>
          <w:p w14:paraId="50D8933F">
            <w:pPr>
              <w:ind w:left="-90"/>
              <w:jc w:val="left"/>
              <w:rPr>
                <w:rFonts w:ascii="Mincho"/>
                <w:color w:val="000000"/>
                <w:kern w:val="0"/>
                <w:sz w:val="20"/>
              </w:rPr>
            </w:pPr>
          </w:p>
        </w:tc>
      </w:tr>
      <w:tr w14:paraId="66F05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9" w:hRule="atLeast"/>
        </w:trPr>
        <w:tc>
          <w:tcPr>
            <w:tcW w:w="989" w:type="dxa"/>
            <w:noWrap w:val="0"/>
            <w:vAlign w:val="top"/>
          </w:tcPr>
          <w:p w14:paraId="1CA98DA1">
            <w:pPr>
              <w:ind w:left="-90"/>
              <w:jc w:val="left"/>
              <w:rPr>
                <w:rFonts w:ascii="Mincho"/>
                <w:color w:val="000000"/>
                <w:kern w:val="0"/>
                <w:sz w:val="20"/>
              </w:rPr>
            </w:pPr>
          </w:p>
        </w:tc>
        <w:tc>
          <w:tcPr>
            <w:tcW w:w="1266" w:type="dxa"/>
            <w:noWrap w:val="0"/>
            <w:vAlign w:val="top"/>
          </w:tcPr>
          <w:p w14:paraId="322805E5">
            <w:pPr>
              <w:ind w:left="-90"/>
              <w:jc w:val="left"/>
              <w:rPr>
                <w:rFonts w:ascii="Mincho"/>
                <w:color w:val="000000"/>
                <w:kern w:val="0"/>
                <w:sz w:val="20"/>
              </w:rPr>
            </w:pPr>
          </w:p>
        </w:tc>
        <w:tc>
          <w:tcPr>
            <w:tcW w:w="1813" w:type="dxa"/>
            <w:noWrap w:val="0"/>
            <w:vAlign w:val="top"/>
          </w:tcPr>
          <w:p w14:paraId="15188CA1">
            <w:pPr>
              <w:ind w:left="-90"/>
              <w:jc w:val="left"/>
              <w:rPr>
                <w:rFonts w:ascii="Mincho"/>
                <w:color w:val="000000"/>
                <w:kern w:val="0"/>
                <w:sz w:val="20"/>
              </w:rPr>
            </w:pPr>
          </w:p>
        </w:tc>
        <w:tc>
          <w:tcPr>
            <w:tcW w:w="1980" w:type="dxa"/>
            <w:noWrap w:val="0"/>
            <w:vAlign w:val="top"/>
          </w:tcPr>
          <w:p w14:paraId="666FF455">
            <w:pPr>
              <w:ind w:left="-90"/>
              <w:jc w:val="left"/>
              <w:rPr>
                <w:rFonts w:ascii="Mincho"/>
                <w:color w:val="000000"/>
                <w:kern w:val="0"/>
                <w:sz w:val="20"/>
              </w:rPr>
            </w:pPr>
          </w:p>
        </w:tc>
        <w:tc>
          <w:tcPr>
            <w:tcW w:w="1260" w:type="dxa"/>
            <w:noWrap w:val="0"/>
            <w:vAlign w:val="top"/>
          </w:tcPr>
          <w:p w14:paraId="3D84AD44">
            <w:pPr>
              <w:ind w:left="-90"/>
              <w:jc w:val="left"/>
              <w:rPr>
                <w:rFonts w:ascii="Mincho"/>
                <w:color w:val="000000"/>
                <w:kern w:val="0"/>
                <w:sz w:val="20"/>
              </w:rPr>
            </w:pPr>
          </w:p>
        </w:tc>
        <w:tc>
          <w:tcPr>
            <w:tcW w:w="1254" w:type="dxa"/>
            <w:noWrap w:val="0"/>
            <w:vAlign w:val="top"/>
          </w:tcPr>
          <w:p w14:paraId="60B46A99">
            <w:pPr>
              <w:ind w:left="-90"/>
              <w:jc w:val="left"/>
              <w:rPr>
                <w:rFonts w:ascii="Mincho"/>
                <w:color w:val="000000"/>
                <w:kern w:val="0"/>
                <w:sz w:val="20"/>
              </w:rPr>
            </w:pPr>
          </w:p>
        </w:tc>
      </w:tr>
      <w:tr w14:paraId="39BD97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7" w:hRule="atLeast"/>
        </w:trPr>
        <w:tc>
          <w:tcPr>
            <w:tcW w:w="989" w:type="dxa"/>
            <w:noWrap w:val="0"/>
            <w:vAlign w:val="top"/>
          </w:tcPr>
          <w:p w14:paraId="620D8923">
            <w:pPr>
              <w:ind w:left="-90"/>
              <w:jc w:val="left"/>
              <w:rPr>
                <w:rFonts w:ascii="Mincho"/>
                <w:color w:val="000000"/>
                <w:kern w:val="0"/>
                <w:sz w:val="20"/>
              </w:rPr>
            </w:pPr>
          </w:p>
        </w:tc>
        <w:tc>
          <w:tcPr>
            <w:tcW w:w="1266" w:type="dxa"/>
            <w:noWrap w:val="0"/>
            <w:vAlign w:val="top"/>
          </w:tcPr>
          <w:p w14:paraId="688869B6">
            <w:pPr>
              <w:ind w:left="-90"/>
              <w:jc w:val="left"/>
              <w:rPr>
                <w:rFonts w:ascii="Mincho"/>
                <w:color w:val="000000"/>
                <w:kern w:val="0"/>
                <w:sz w:val="20"/>
              </w:rPr>
            </w:pPr>
          </w:p>
        </w:tc>
        <w:tc>
          <w:tcPr>
            <w:tcW w:w="1813" w:type="dxa"/>
            <w:noWrap w:val="0"/>
            <w:vAlign w:val="top"/>
          </w:tcPr>
          <w:p w14:paraId="59488E55">
            <w:pPr>
              <w:ind w:left="-90"/>
              <w:jc w:val="left"/>
              <w:rPr>
                <w:rFonts w:ascii="Mincho"/>
                <w:color w:val="000000"/>
                <w:kern w:val="0"/>
                <w:sz w:val="20"/>
              </w:rPr>
            </w:pPr>
          </w:p>
        </w:tc>
        <w:tc>
          <w:tcPr>
            <w:tcW w:w="1980" w:type="dxa"/>
            <w:noWrap w:val="0"/>
            <w:vAlign w:val="top"/>
          </w:tcPr>
          <w:p w14:paraId="312B464C">
            <w:pPr>
              <w:ind w:left="-90"/>
              <w:jc w:val="left"/>
              <w:rPr>
                <w:rFonts w:ascii="Mincho"/>
                <w:color w:val="000000"/>
                <w:kern w:val="0"/>
                <w:sz w:val="20"/>
              </w:rPr>
            </w:pPr>
          </w:p>
        </w:tc>
        <w:tc>
          <w:tcPr>
            <w:tcW w:w="1260" w:type="dxa"/>
            <w:noWrap w:val="0"/>
            <w:vAlign w:val="top"/>
          </w:tcPr>
          <w:p w14:paraId="00B653D8">
            <w:pPr>
              <w:ind w:left="-90"/>
              <w:jc w:val="left"/>
              <w:rPr>
                <w:rFonts w:ascii="Mincho"/>
                <w:color w:val="000000"/>
                <w:kern w:val="0"/>
                <w:sz w:val="20"/>
              </w:rPr>
            </w:pPr>
          </w:p>
        </w:tc>
        <w:tc>
          <w:tcPr>
            <w:tcW w:w="1254" w:type="dxa"/>
            <w:noWrap w:val="0"/>
            <w:vAlign w:val="top"/>
          </w:tcPr>
          <w:p w14:paraId="59AC4720">
            <w:pPr>
              <w:ind w:left="-90"/>
              <w:jc w:val="left"/>
              <w:rPr>
                <w:rFonts w:ascii="Mincho"/>
                <w:color w:val="000000"/>
                <w:kern w:val="0"/>
                <w:sz w:val="20"/>
              </w:rPr>
            </w:pPr>
          </w:p>
        </w:tc>
      </w:tr>
      <w:tr w14:paraId="02DDFE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trPr>
        <w:tc>
          <w:tcPr>
            <w:tcW w:w="989" w:type="dxa"/>
            <w:noWrap w:val="0"/>
            <w:vAlign w:val="top"/>
          </w:tcPr>
          <w:p w14:paraId="274336D4">
            <w:pPr>
              <w:ind w:left="-90"/>
              <w:jc w:val="left"/>
              <w:rPr>
                <w:rFonts w:ascii="Mincho"/>
                <w:color w:val="000000"/>
                <w:kern w:val="0"/>
                <w:sz w:val="20"/>
              </w:rPr>
            </w:pPr>
          </w:p>
        </w:tc>
        <w:tc>
          <w:tcPr>
            <w:tcW w:w="1266" w:type="dxa"/>
            <w:noWrap w:val="0"/>
            <w:vAlign w:val="top"/>
          </w:tcPr>
          <w:p w14:paraId="062FC8A2">
            <w:pPr>
              <w:ind w:left="-90"/>
              <w:jc w:val="left"/>
              <w:rPr>
                <w:rFonts w:ascii="Mincho"/>
                <w:color w:val="000000"/>
                <w:kern w:val="0"/>
                <w:sz w:val="20"/>
              </w:rPr>
            </w:pPr>
          </w:p>
        </w:tc>
        <w:tc>
          <w:tcPr>
            <w:tcW w:w="1813" w:type="dxa"/>
            <w:noWrap w:val="0"/>
            <w:vAlign w:val="top"/>
          </w:tcPr>
          <w:p w14:paraId="5DA4AE09">
            <w:pPr>
              <w:ind w:left="-90"/>
              <w:jc w:val="left"/>
              <w:rPr>
                <w:rFonts w:ascii="Mincho"/>
                <w:color w:val="000000"/>
                <w:kern w:val="0"/>
                <w:sz w:val="20"/>
              </w:rPr>
            </w:pPr>
          </w:p>
        </w:tc>
        <w:tc>
          <w:tcPr>
            <w:tcW w:w="1980" w:type="dxa"/>
            <w:noWrap w:val="0"/>
            <w:vAlign w:val="top"/>
          </w:tcPr>
          <w:p w14:paraId="7220DD1D">
            <w:pPr>
              <w:ind w:left="-90"/>
              <w:jc w:val="left"/>
              <w:rPr>
                <w:rFonts w:ascii="Mincho"/>
                <w:color w:val="000000"/>
                <w:kern w:val="0"/>
                <w:sz w:val="20"/>
              </w:rPr>
            </w:pPr>
          </w:p>
        </w:tc>
        <w:tc>
          <w:tcPr>
            <w:tcW w:w="1260" w:type="dxa"/>
            <w:noWrap w:val="0"/>
            <w:vAlign w:val="top"/>
          </w:tcPr>
          <w:p w14:paraId="6833BFBA">
            <w:pPr>
              <w:ind w:left="-90"/>
              <w:jc w:val="left"/>
              <w:rPr>
                <w:rFonts w:ascii="Mincho"/>
                <w:color w:val="000000"/>
                <w:kern w:val="0"/>
                <w:sz w:val="20"/>
              </w:rPr>
            </w:pPr>
          </w:p>
        </w:tc>
        <w:tc>
          <w:tcPr>
            <w:tcW w:w="1254" w:type="dxa"/>
            <w:noWrap w:val="0"/>
            <w:vAlign w:val="top"/>
          </w:tcPr>
          <w:p w14:paraId="66D4ADBF">
            <w:pPr>
              <w:ind w:left="-90"/>
              <w:jc w:val="left"/>
              <w:rPr>
                <w:rFonts w:ascii="Mincho"/>
                <w:color w:val="000000"/>
                <w:kern w:val="0"/>
                <w:sz w:val="20"/>
              </w:rPr>
            </w:pPr>
          </w:p>
        </w:tc>
      </w:tr>
      <w:tr w14:paraId="27431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9" w:hRule="atLeast"/>
        </w:trPr>
        <w:tc>
          <w:tcPr>
            <w:tcW w:w="989" w:type="dxa"/>
            <w:noWrap w:val="0"/>
            <w:vAlign w:val="top"/>
          </w:tcPr>
          <w:p w14:paraId="551DE47E">
            <w:pPr>
              <w:ind w:left="-90"/>
              <w:jc w:val="left"/>
              <w:rPr>
                <w:rFonts w:ascii="Mincho"/>
                <w:color w:val="000000"/>
                <w:kern w:val="0"/>
                <w:sz w:val="20"/>
              </w:rPr>
            </w:pPr>
          </w:p>
        </w:tc>
        <w:tc>
          <w:tcPr>
            <w:tcW w:w="1266" w:type="dxa"/>
            <w:noWrap w:val="0"/>
            <w:vAlign w:val="top"/>
          </w:tcPr>
          <w:p w14:paraId="1F4CAC83">
            <w:pPr>
              <w:ind w:left="-90"/>
              <w:jc w:val="left"/>
              <w:rPr>
                <w:rFonts w:ascii="Mincho"/>
                <w:color w:val="000000"/>
                <w:kern w:val="0"/>
                <w:sz w:val="20"/>
              </w:rPr>
            </w:pPr>
          </w:p>
        </w:tc>
        <w:tc>
          <w:tcPr>
            <w:tcW w:w="1813" w:type="dxa"/>
            <w:noWrap w:val="0"/>
            <w:vAlign w:val="top"/>
          </w:tcPr>
          <w:p w14:paraId="5EC83926">
            <w:pPr>
              <w:ind w:left="-90"/>
              <w:jc w:val="left"/>
              <w:rPr>
                <w:rFonts w:ascii="Mincho"/>
                <w:color w:val="000000"/>
                <w:kern w:val="0"/>
                <w:sz w:val="20"/>
              </w:rPr>
            </w:pPr>
          </w:p>
        </w:tc>
        <w:tc>
          <w:tcPr>
            <w:tcW w:w="1980" w:type="dxa"/>
            <w:noWrap w:val="0"/>
            <w:vAlign w:val="top"/>
          </w:tcPr>
          <w:p w14:paraId="1817B6A4">
            <w:pPr>
              <w:ind w:left="-90"/>
              <w:jc w:val="left"/>
              <w:rPr>
                <w:rFonts w:ascii="Mincho"/>
                <w:color w:val="000000"/>
                <w:kern w:val="0"/>
                <w:sz w:val="20"/>
              </w:rPr>
            </w:pPr>
          </w:p>
        </w:tc>
        <w:tc>
          <w:tcPr>
            <w:tcW w:w="1260" w:type="dxa"/>
            <w:noWrap w:val="0"/>
            <w:vAlign w:val="top"/>
          </w:tcPr>
          <w:p w14:paraId="2AED9A80">
            <w:pPr>
              <w:ind w:left="-90"/>
              <w:jc w:val="left"/>
              <w:rPr>
                <w:rFonts w:ascii="Mincho"/>
                <w:color w:val="000000"/>
                <w:kern w:val="0"/>
                <w:sz w:val="20"/>
              </w:rPr>
            </w:pPr>
          </w:p>
        </w:tc>
        <w:tc>
          <w:tcPr>
            <w:tcW w:w="1254" w:type="dxa"/>
            <w:noWrap w:val="0"/>
            <w:vAlign w:val="top"/>
          </w:tcPr>
          <w:p w14:paraId="1FA302C7">
            <w:pPr>
              <w:ind w:left="-90"/>
              <w:jc w:val="left"/>
              <w:rPr>
                <w:rFonts w:ascii="Mincho"/>
                <w:color w:val="000000"/>
                <w:kern w:val="0"/>
                <w:sz w:val="20"/>
              </w:rPr>
            </w:pPr>
          </w:p>
        </w:tc>
      </w:tr>
      <w:tr w14:paraId="04161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trPr>
        <w:tc>
          <w:tcPr>
            <w:tcW w:w="989" w:type="dxa"/>
            <w:noWrap w:val="0"/>
            <w:vAlign w:val="top"/>
          </w:tcPr>
          <w:p w14:paraId="6AA43080">
            <w:pPr>
              <w:ind w:left="-90"/>
              <w:jc w:val="left"/>
              <w:rPr>
                <w:rFonts w:ascii="Mincho"/>
                <w:color w:val="000000"/>
                <w:kern w:val="0"/>
                <w:sz w:val="20"/>
              </w:rPr>
            </w:pPr>
          </w:p>
        </w:tc>
        <w:tc>
          <w:tcPr>
            <w:tcW w:w="1266" w:type="dxa"/>
            <w:noWrap w:val="0"/>
            <w:vAlign w:val="top"/>
          </w:tcPr>
          <w:p w14:paraId="15DAA6BB">
            <w:pPr>
              <w:ind w:left="-90"/>
              <w:jc w:val="left"/>
              <w:rPr>
                <w:rFonts w:ascii="Mincho"/>
                <w:color w:val="000000"/>
                <w:kern w:val="0"/>
                <w:sz w:val="20"/>
              </w:rPr>
            </w:pPr>
          </w:p>
        </w:tc>
        <w:tc>
          <w:tcPr>
            <w:tcW w:w="1813" w:type="dxa"/>
            <w:noWrap w:val="0"/>
            <w:vAlign w:val="top"/>
          </w:tcPr>
          <w:p w14:paraId="1ABBBA80">
            <w:pPr>
              <w:ind w:left="-90"/>
              <w:jc w:val="left"/>
              <w:rPr>
                <w:rFonts w:ascii="Mincho"/>
                <w:color w:val="000000"/>
                <w:kern w:val="0"/>
                <w:sz w:val="20"/>
              </w:rPr>
            </w:pPr>
          </w:p>
        </w:tc>
        <w:tc>
          <w:tcPr>
            <w:tcW w:w="1980" w:type="dxa"/>
            <w:noWrap w:val="0"/>
            <w:vAlign w:val="top"/>
          </w:tcPr>
          <w:p w14:paraId="744DC2A8">
            <w:pPr>
              <w:ind w:left="-90"/>
              <w:jc w:val="left"/>
              <w:rPr>
                <w:rFonts w:ascii="Mincho"/>
                <w:color w:val="000000"/>
                <w:kern w:val="0"/>
                <w:sz w:val="20"/>
              </w:rPr>
            </w:pPr>
          </w:p>
        </w:tc>
        <w:tc>
          <w:tcPr>
            <w:tcW w:w="1260" w:type="dxa"/>
            <w:noWrap w:val="0"/>
            <w:vAlign w:val="top"/>
          </w:tcPr>
          <w:p w14:paraId="0CE62B85">
            <w:pPr>
              <w:ind w:left="-90"/>
              <w:jc w:val="left"/>
              <w:rPr>
                <w:rFonts w:ascii="Mincho"/>
                <w:color w:val="000000"/>
                <w:kern w:val="0"/>
                <w:sz w:val="20"/>
              </w:rPr>
            </w:pPr>
          </w:p>
        </w:tc>
        <w:tc>
          <w:tcPr>
            <w:tcW w:w="1254" w:type="dxa"/>
            <w:noWrap w:val="0"/>
            <w:vAlign w:val="top"/>
          </w:tcPr>
          <w:p w14:paraId="404D2AE8">
            <w:pPr>
              <w:ind w:left="-90"/>
              <w:jc w:val="left"/>
              <w:rPr>
                <w:rFonts w:ascii="Mincho"/>
                <w:color w:val="000000"/>
                <w:kern w:val="0"/>
                <w:sz w:val="20"/>
              </w:rPr>
            </w:pPr>
          </w:p>
        </w:tc>
      </w:tr>
    </w:tbl>
    <w:p w14:paraId="6713ECEB">
      <w:pPr>
        <w:rPr>
          <w:rFonts w:hint="eastAsia"/>
          <w:color w:val="000000"/>
        </w:rPr>
      </w:pPr>
    </w:p>
    <w:p w14:paraId="09A5726E">
      <w:pPr>
        <w:rPr>
          <w:color w:val="000000"/>
        </w:rPr>
      </w:pPr>
    </w:p>
    <w:p w14:paraId="1B3A00D2">
      <w:pPr>
        <w:rPr>
          <w:color w:val="000000"/>
        </w:rPr>
      </w:pPr>
    </w:p>
    <w:p w14:paraId="2C7747A9">
      <w:pPr>
        <w:rPr>
          <w:color w:val="000000"/>
        </w:rPr>
      </w:pPr>
    </w:p>
    <w:p w14:paraId="1F187A97">
      <w:pPr>
        <w:rPr>
          <w:rFonts w:hint="eastAsia"/>
          <w:color w:val="000000"/>
          <w:sz w:val="24"/>
          <w:u w:val="single"/>
        </w:rPr>
      </w:pPr>
      <w:r>
        <w:rPr>
          <w:rFonts w:hint="eastAsia" w:ascii="宋体"/>
          <w:color w:val="000000"/>
          <w:spacing w:val="19"/>
          <w:kern w:val="0"/>
          <w:sz w:val="24"/>
          <w:szCs w:val="25"/>
        </w:rPr>
        <w:t>投标人名称（章）：</w:t>
      </w:r>
      <w:r>
        <w:rPr>
          <w:rFonts w:hint="eastAsia" w:ascii="宋体"/>
          <w:color w:val="000000"/>
          <w:spacing w:val="19"/>
          <w:kern w:val="0"/>
          <w:sz w:val="24"/>
          <w:szCs w:val="25"/>
          <w:u w:val="single"/>
        </w:rPr>
        <w:t xml:space="preserve">         </w:t>
      </w:r>
      <w:r>
        <w:rPr>
          <w:rFonts w:hint="eastAsia" w:ascii="宋体"/>
          <w:color w:val="000000"/>
          <w:spacing w:val="19"/>
          <w:kern w:val="0"/>
          <w:sz w:val="24"/>
          <w:szCs w:val="25"/>
        </w:rPr>
        <w:t xml:space="preserve">  </w:t>
      </w:r>
      <w:r>
        <w:rPr>
          <w:rFonts w:hint="eastAsia"/>
          <w:color w:val="000000"/>
          <w:sz w:val="24"/>
        </w:rPr>
        <w:t>授权代表（签字或盖章）：</w:t>
      </w:r>
      <w:r>
        <w:rPr>
          <w:color w:val="000000"/>
          <w:sz w:val="24"/>
          <w:u w:val="single"/>
        </w:rPr>
        <w:t xml:space="preserve">                 </w:t>
      </w:r>
    </w:p>
    <w:p w14:paraId="34F784DD">
      <w:pPr>
        <w:ind w:firstLine="4560" w:firstLineChars="1900"/>
        <w:rPr>
          <w:rFonts w:hint="eastAsia"/>
          <w:color w:val="000000"/>
          <w:sz w:val="24"/>
          <w:u w:val="single"/>
        </w:rPr>
      </w:pPr>
    </w:p>
    <w:p w14:paraId="39867527">
      <w:pPr>
        <w:ind w:firstLine="6600" w:firstLineChars="2750"/>
        <w:rPr>
          <w:color w:val="000000"/>
          <w:sz w:val="24"/>
          <w:u w:val="single"/>
        </w:rPr>
      </w:pPr>
      <w:r>
        <w:rPr>
          <w:rFonts w:hint="eastAsia" w:ascii="宋体" w:hAnsi="宋体"/>
          <w:color w:val="000000"/>
          <w:sz w:val="24"/>
        </w:rPr>
        <w:t>年   月   日</w:t>
      </w:r>
    </w:p>
    <w:p w14:paraId="285D27D4">
      <w:pPr>
        <w:spacing w:line="360" w:lineRule="auto"/>
        <w:ind w:firstLine="480" w:firstLineChars="200"/>
        <w:rPr>
          <w:rFonts w:hint="eastAsia" w:ascii="宋体" w:hAnsi="宋体"/>
          <w:color w:val="000000"/>
          <w:sz w:val="24"/>
        </w:rPr>
      </w:pPr>
    </w:p>
    <w:p w14:paraId="33375E07">
      <w:pPr>
        <w:spacing w:line="360" w:lineRule="auto"/>
        <w:ind w:firstLine="480" w:firstLineChars="200"/>
        <w:rPr>
          <w:rFonts w:hint="eastAsia" w:ascii="宋体" w:hAnsi="宋体"/>
          <w:color w:val="000000"/>
          <w:sz w:val="24"/>
        </w:rPr>
      </w:pPr>
      <w:r>
        <w:rPr>
          <w:rFonts w:hint="eastAsia" w:ascii="宋体" w:hAnsi="宋体"/>
          <w:color w:val="000000"/>
          <w:sz w:val="24"/>
        </w:rPr>
        <w:t>注：投标人应对照用户需求表中的技术规格，逐条核对所提供货物和服务是否作出了实质性的响应，有偏离的必须作出说明，对有具体参数要求的指标，投标人必须提供本次投标货物的具体参数值。</w:t>
      </w:r>
    </w:p>
    <w:p w14:paraId="4556B6A4">
      <w:pPr>
        <w:pStyle w:val="13"/>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Mincho">
    <w:altName w:val="Yu Gothic UI"/>
    <w:panose1 w:val="02020609040305080305"/>
    <w:charset w:val="80"/>
    <w:family w:val="roman"/>
    <w:pitch w:val="default"/>
    <w:sig w:usb0="00000000" w:usb1="00000000" w:usb2="00000010" w:usb3="00000000" w:csb0="0002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D01079"/>
    <w:multiLevelType w:val="singleLevel"/>
    <w:tmpl w:val="8DD01079"/>
    <w:lvl w:ilvl="0" w:tentative="0">
      <w:start w:val="2"/>
      <w:numFmt w:val="chineseCounting"/>
      <w:suff w:val="nothing"/>
      <w:lvlText w:val="%1、"/>
      <w:lvlJc w:val="left"/>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xYzRjMmE0NzkyMzQzMTk4OTkzZTZiNmMwNWQ3ZDAifQ=="/>
    <w:docVar w:name="KSO_WPS_MARK_KEY" w:val="2bff67fa-fe7d-4b66-aac4-3b19897f5fce"/>
  </w:docVars>
  <w:rsids>
    <w:rsidRoot w:val="001E4994"/>
    <w:rsid w:val="00034C4F"/>
    <w:rsid w:val="00062488"/>
    <w:rsid w:val="00065B9E"/>
    <w:rsid w:val="00100CC9"/>
    <w:rsid w:val="0010180B"/>
    <w:rsid w:val="00123B11"/>
    <w:rsid w:val="001349F5"/>
    <w:rsid w:val="00136029"/>
    <w:rsid w:val="001B4F61"/>
    <w:rsid w:val="001D2D28"/>
    <w:rsid w:val="001D74F7"/>
    <w:rsid w:val="001E4994"/>
    <w:rsid w:val="001F5441"/>
    <w:rsid w:val="001F5EE3"/>
    <w:rsid w:val="00275917"/>
    <w:rsid w:val="0028298A"/>
    <w:rsid w:val="002903EC"/>
    <w:rsid w:val="002D4C22"/>
    <w:rsid w:val="002D6EE5"/>
    <w:rsid w:val="002F156F"/>
    <w:rsid w:val="00314C47"/>
    <w:rsid w:val="00360DD2"/>
    <w:rsid w:val="00374E2D"/>
    <w:rsid w:val="003833D1"/>
    <w:rsid w:val="003F6A6E"/>
    <w:rsid w:val="00420E1C"/>
    <w:rsid w:val="004601DD"/>
    <w:rsid w:val="00477556"/>
    <w:rsid w:val="0049505C"/>
    <w:rsid w:val="004E121B"/>
    <w:rsid w:val="00512F90"/>
    <w:rsid w:val="005130D5"/>
    <w:rsid w:val="005431EA"/>
    <w:rsid w:val="005731E9"/>
    <w:rsid w:val="005B30E5"/>
    <w:rsid w:val="005C67BA"/>
    <w:rsid w:val="005E119F"/>
    <w:rsid w:val="00654B46"/>
    <w:rsid w:val="00662F7C"/>
    <w:rsid w:val="006C5E8E"/>
    <w:rsid w:val="006C79FE"/>
    <w:rsid w:val="0070534E"/>
    <w:rsid w:val="00706964"/>
    <w:rsid w:val="007223CA"/>
    <w:rsid w:val="007274EA"/>
    <w:rsid w:val="00734E6A"/>
    <w:rsid w:val="007B3478"/>
    <w:rsid w:val="007C653C"/>
    <w:rsid w:val="007F59B4"/>
    <w:rsid w:val="008323B9"/>
    <w:rsid w:val="008761E8"/>
    <w:rsid w:val="0088110F"/>
    <w:rsid w:val="00892A72"/>
    <w:rsid w:val="00893261"/>
    <w:rsid w:val="008C3671"/>
    <w:rsid w:val="00942ABD"/>
    <w:rsid w:val="009513AB"/>
    <w:rsid w:val="00953C1C"/>
    <w:rsid w:val="00953E2C"/>
    <w:rsid w:val="009B1AC1"/>
    <w:rsid w:val="00A20E09"/>
    <w:rsid w:val="00A513B0"/>
    <w:rsid w:val="00A64152"/>
    <w:rsid w:val="00A71731"/>
    <w:rsid w:val="00A76895"/>
    <w:rsid w:val="00AA75D7"/>
    <w:rsid w:val="00AD1578"/>
    <w:rsid w:val="00B00731"/>
    <w:rsid w:val="00B04362"/>
    <w:rsid w:val="00B05C0F"/>
    <w:rsid w:val="00B132FF"/>
    <w:rsid w:val="00B1580E"/>
    <w:rsid w:val="00B84F67"/>
    <w:rsid w:val="00B91BFE"/>
    <w:rsid w:val="00BC5934"/>
    <w:rsid w:val="00BD6DB0"/>
    <w:rsid w:val="00BF0541"/>
    <w:rsid w:val="00C105C6"/>
    <w:rsid w:val="00C15AC7"/>
    <w:rsid w:val="00C15E2F"/>
    <w:rsid w:val="00C17EA0"/>
    <w:rsid w:val="00C26F39"/>
    <w:rsid w:val="00C36375"/>
    <w:rsid w:val="00C96F8E"/>
    <w:rsid w:val="00CA0710"/>
    <w:rsid w:val="00CB596E"/>
    <w:rsid w:val="00D2036E"/>
    <w:rsid w:val="00D269ED"/>
    <w:rsid w:val="00D34E3F"/>
    <w:rsid w:val="00D5278A"/>
    <w:rsid w:val="00D60B6F"/>
    <w:rsid w:val="00D63619"/>
    <w:rsid w:val="00D7577F"/>
    <w:rsid w:val="00D77C56"/>
    <w:rsid w:val="00DA09B4"/>
    <w:rsid w:val="00DD3BF6"/>
    <w:rsid w:val="00E26AB3"/>
    <w:rsid w:val="00E37AC0"/>
    <w:rsid w:val="00E40268"/>
    <w:rsid w:val="00E525C0"/>
    <w:rsid w:val="00EF5FBC"/>
    <w:rsid w:val="00F27E47"/>
    <w:rsid w:val="00F45E40"/>
    <w:rsid w:val="00F508F2"/>
    <w:rsid w:val="00F7062E"/>
    <w:rsid w:val="00F74BDC"/>
    <w:rsid w:val="00F91D38"/>
    <w:rsid w:val="00F9659F"/>
    <w:rsid w:val="00FA0CA4"/>
    <w:rsid w:val="00FB4C1D"/>
    <w:rsid w:val="01C458F4"/>
    <w:rsid w:val="09B62806"/>
    <w:rsid w:val="12C14EC5"/>
    <w:rsid w:val="25597DB6"/>
    <w:rsid w:val="303169EA"/>
    <w:rsid w:val="33875910"/>
    <w:rsid w:val="3C547ADA"/>
    <w:rsid w:val="45CF577C"/>
    <w:rsid w:val="6361115D"/>
    <w:rsid w:val="63A443AB"/>
    <w:rsid w:val="66326DE1"/>
    <w:rsid w:val="664C727B"/>
    <w:rsid w:val="6AFDC042"/>
    <w:rsid w:val="FEA3EB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5">
    <w:name w:val="heading 2"/>
    <w:basedOn w:val="1"/>
    <w:next w:val="1"/>
    <w:link w:val="2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6">
    <w:name w:val="heading 3"/>
    <w:basedOn w:val="1"/>
    <w:next w:val="1"/>
    <w:link w:val="2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7">
    <w:name w:val="heading 4"/>
    <w:basedOn w:val="1"/>
    <w:next w:val="1"/>
    <w:link w:val="3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8">
    <w:name w:val="heading 5"/>
    <w:basedOn w:val="1"/>
    <w:next w:val="1"/>
    <w:link w:val="31"/>
    <w:semiHidden/>
    <w:unhideWhenUsed/>
    <w:qFormat/>
    <w:uiPriority w:val="9"/>
    <w:pPr>
      <w:keepNext/>
      <w:keepLines/>
      <w:spacing w:before="80" w:after="40"/>
      <w:outlineLvl w:val="4"/>
    </w:pPr>
    <w:rPr>
      <w:rFonts w:cstheme="majorBidi"/>
      <w:color w:val="104862" w:themeColor="accent1" w:themeShade="BF"/>
      <w:sz w:val="24"/>
    </w:rPr>
  </w:style>
  <w:style w:type="paragraph" w:styleId="9">
    <w:name w:val="heading 6"/>
    <w:basedOn w:val="1"/>
    <w:next w:val="1"/>
    <w:link w:val="32"/>
    <w:semiHidden/>
    <w:unhideWhenUsed/>
    <w:qFormat/>
    <w:uiPriority w:val="9"/>
    <w:pPr>
      <w:keepNext/>
      <w:keepLines/>
      <w:spacing w:before="40"/>
      <w:outlineLvl w:val="5"/>
    </w:pPr>
    <w:rPr>
      <w:rFonts w:cstheme="majorBidi"/>
      <w:b/>
      <w:bCs/>
      <w:color w:val="104862" w:themeColor="accent1" w:themeShade="BF"/>
    </w:rPr>
  </w:style>
  <w:style w:type="paragraph" w:styleId="10">
    <w:name w:val="heading 7"/>
    <w:basedOn w:val="1"/>
    <w:next w:val="1"/>
    <w:link w:val="3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1">
    <w:name w:val="heading 8"/>
    <w:basedOn w:val="1"/>
    <w:next w:val="1"/>
    <w:link w:val="3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2">
    <w:name w:val="heading 9"/>
    <w:basedOn w:val="1"/>
    <w:next w:val="1"/>
    <w:link w:val="3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rPr>
      <w:rFonts w:ascii="宋体"/>
      <w:spacing w:val="-4"/>
    </w:rPr>
  </w:style>
  <w:style w:type="paragraph" w:styleId="3">
    <w:name w:val="Body Text Indent"/>
    <w:basedOn w:val="1"/>
    <w:link w:val="49"/>
    <w:semiHidden/>
    <w:unhideWhenUsed/>
    <w:qFormat/>
    <w:uiPriority w:val="99"/>
    <w:pPr>
      <w:spacing w:after="120"/>
      <w:ind w:left="420" w:leftChars="200"/>
    </w:pPr>
  </w:style>
  <w:style w:type="paragraph" w:styleId="13">
    <w:name w:val="Body Text"/>
    <w:basedOn w:val="14"/>
    <w:next w:val="1"/>
    <w:qFormat/>
    <w:uiPriority w:val="0"/>
    <w:rPr>
      <w:rFonts w:ascii="楷体_GB2312" w:hAnsi="Arial" w:eastAsia="楷体_GB2312"/>
      <w:sz w:val="28"/>
    </w:rPr>
  </w:style>
  <w:style w:type="paragraph" w:styleId="14">
    <w:name w:val="Body Text 2"/>
    <w:basedOn w:val="1"/>
    <w:qFormat/>
    <w:uiPriority w:val="0"/>
    <w:pPr>
      <w:spacing w:line="480" w:lineRule="auto"/>
    </w:pPr>
  </w:style>
  <w:style w:type="paragraph" w:styleId="15">
    <w:name w:val="index 4"/>
    <w:basedOn w:val="1"/>
    <w:next w:val="1"/>
    <w:semiHidden/>
    <w:qFormat/>
    <w:uiPriority w:val="0"/>
    <w:pPr>
      <w:ind w:left="1260"/>
    </w:pPr>
  </w:style>
  <w:style w:type="paragraph" w:styleId="16">
    <w:name w:val="Date"/>
    <w:basedOn w:val="1"/>
    <w:next w:val="1"/>
    <w:link w:val="47"/>
    <w:qFormat/>
    <w:uiPriority w:val="0"/>
    <w:pPr>
      <w:ind w:left="2500" w:leftChars="2500"/>
    </w:pPr>
    <w:rPr>
      <w:rFonts w:eastAsia="黑体"/>
      <w:kern w:val="0"/>
      <w:sz w:val="32"/>
    </w:rPr>
  </w:style>
  <w:style w:type="paragraph" w:styleId="17">
    <w:name w:val="footer"/>
    <w:basedOn w:val="1"/>
    <w:link w:val="46"/>
    <w:unhideWhenUsed/>
    <w:qFormat/>
    <w:uiPriority w:val="99"/>
    <w:pPr>
      <w:tabs>
        <w:tab w:val="center" w:pos="4153"/>
        <w:tab w:val="right" w:pos="8306"/>
      </w:tabs>
      <w:snapToGrid w:val="0"/>
    </w:pPr>
    <w:rPr>
      <w:sz w:val="18"/>
      <w:szCs w:val="18"/>
    </w:rPr>
  </w:style>
  <w:style w:type="paragraph" w:styleId="18">
    <w:name w:val="header"/>
    <w:basedOn w:val="1"/>
    <w:link w:val="45"/>
    <w:unhideWhenUsed/>
    <w:qFormat/>
    <w:uiPriority w:val="99"/>
    <w:pPr>
      <w:tabs>
        <w:tab w:val="center" w:pos="4153"/>
        <w:tab w:val="right" w:pos="8306"/>
      </w:tabs>
      <w:snapToGrid w:val="0"/>
      <w:jc w:val="center"/>
    </w:pPr>
    <w:rPr>
      <w:sz w:val="18"/>
      <w:szCs w:val="18"/>
    </w:rPr>
  </w:style>
  <w:style w:type="paragraph" w:styleId="19">
    <w:name w:val="Subtitle"/>
    <w:basedOn w:val="1"/>
    <w:next w:val="1"/>
    <w:link w:val="37"/>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0">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1">
    <w:name w:val="Title"/>
    <w:basedOn w:val="1"/>
    <w:next w:val="1"/>
    <w:link w:val="36"/>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3">
    <w:name w:val="Table Grid"/>
    <w:basedOn w:val="2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FollowedHyperlink"/>
    <w:qFormat/>
    <w:uiPriority w:val="0"/>
    <w:rPr>
      <w:color w:val="156356"/>
      <w:u w:val="none"/>
    </w:rPr>
  </w:style>
  <w:style w:type="character" w:styleId="26">
    <w:name w:val="Hyperlink"/>
    <w:qFormat/>
    <w:uiPriority w:val="0"/>
    <w:rPr>
      <w:color w:val="156356"/>
      <w:u w:val="none"/>
    </w:rPr>
  </w:style>
  <w:style w:type="character" w:customStyle="1" w:styleId="27">
    <w:name w:val="标题 1 字符"/>
    <w:basedOn w:val="24"/>
    <w:link w:val="4"/>
    <w:qFormat/>
    <w:uiPriority w:val="9"/>
    <w:rPr>
      <w:rFonts w:asciiTheme="majorHAnsi" w:hAnsiTheme="majorHAnsi" w:eastAsiaTheme="majorEastAsia" w:cstheme="majorBidi"/>
      <w:color w:val="104862" w:themeColor="accent1" w:themeShade="BF"/>
      <w:sz w:val="48"/>
      <w:szCs w:val="48"/>
    </w:rPr>
  </w:style>
  <w:style w:type="character" w:customStyle="1" w:styleId="28">
    <w:name w:val="标题 2 字符"/>
    <w:basedOn w:val="24"/>
    <w:link w:val="5"/>
    <w:semiHidden/>
    <w:qFormat/>
    <w:uiPriority w:val="9"/>
    <w:rPr>
      <w:rFonts w:asciiTheme="majorHAnsi" w:hAnsiTheme="majorHAnsi" w:eastAsiaTheme="majorEastAsia" w:cstheme="majorBidi"/>
      <w:color w:val="104862" w:themeColor="accent1" w:themeShade="BF"/>
      <w:sz w:val="40"/>
      <w:szCs w:val="40"/>
    </w:rPr>
  </w:style>
  <w:style w:type="character" w:customStyle="1" w:styleId="29">
    <w:name w:val="标题 3 字符"/>
    <w:basedOn w:val="24"/>
    <w:link w:val="6"/>
    <w:semiHidden/>
    <w:qFormat/>
    <w:uiPriority w:val="9"/>
    <w:rPr>
      <w:rFonts w:asciiTheme="majorHAnsi" w:hAnsiTheme="majorHAnsi" w:eastAsiaTheme="majorEastAsia" w:cstheme="majorBidi"/>
      <w:color w:val="104862" w:themeColor="accent1" w:themeShade="BF"/>
      <w:sz w:val="32"/>
      <w:szCs w:val="32"/>
    </w:rPr>
  </w:style>
  <w:style w:type="character" w:customStyle="1" w:styleId="30">
    <w:name w:val="标题 4 字符"/>
    <w:basedOn w:val="24"/>
    <w:link w:val="7"/>
    <w:semiHidden/>
    <w:qFormat/>
    <w:uiPriority w:val="9"/>
    <w:rPr>
      <w:rFonts w:cstheme="majorBidi"/>
      <w:color w:val="104862" w:themeColor="accent1" w:themeShade="BF"/>
      <w:sz w:val="28"/>
      <w:szCs w:val="28"/>
    </w:rPr>
  </w:style>
  <w:style w:type="character" w:customStyle="1" w:styleId="31">
    <w:name w:val="标题 5 字符"/>
    <w:basedOn w:val="24"/>
    <w:link w:val="8"/>
    <w:semiHidden/>
    <w:qFormat/>
    <w:uiPriority w:val="9"/>
    <w:rPr>
      <w:rFonts w:cstheme="majorBidi"/>
      <w:color w:val="104862" w:themeColor="accent1" w:themeShade="BF"/>
      <w:sz w:val="24"/>
    </w:rPr>
  </w:style>
  <w:style w:type="character" w:customStyle="1" w:styleId="32">
    <w:name w:val="标题 6 字符"/>
    <w:basedOn w:val="24"/>
    <w:link w:val="9"/>
    <w:semiHidden/>
    <w:qFormat/>
    <w:uiPriority w:val="9"/>
    <w:rPr>
      <w:rFonts w:cstheme="majorBidi"/>
      <w:b/>
      <w:bCs/>
      <w:color w:val="104862" w:themeColor="accent1" w:themeShade="BF"/>
    </w:rPr>
  </w:style>
  <w:style w:type="character" w:customStyle="1" w:styleId="33">
    <w:name w:val="标题 7 字符"/>
    <w:basedOn w:val="24"/>
    <w:link w:val="10"/>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4">
    <w:name w:val="标题 8 字符"/>
    <w:basedOn w:val="24"/>
    <w:link w:val="11"/>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5">
    <w:name w:val="标题 9 字符"/>
    <w:basedOn w:val="24"/>
    <w:link w:val="12"/>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6">
    <w:name w:val="标题 字符"/>
    <w:basedOn w:val="24"/>
    <w:link w:val="21"/>
    <w:qFormat/>
    <w:uiPriority w:val="10"/>
    <w:rPr>
      <w:rFonts w:asciiTheme="majorHAnsi" w:hAnsiTheme="majorHAnsi" w:eastAsiaTheme="majorEastAsia" w:cstheme="majorBidi"/>
      <w:spacing w:val="-10"/>
      <w:kern w:val="28"/>
      <w:sz w:val="56"/>
      <w:szCs w:val="56"/>
    </w:rPr>
  </w:style>
  <w:style w:type="character" w:customStyle="1" w:styleId="37">
    <w:name w:val="副标题 字符"/>
    <w:basedOn w:val="24"/>
    <w:link w:val="19"/>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8">
    <w:name w:val="Quote"/>
    <w:basedOn w:val="1"/>
    <w:next w:val="1"/>
    <w:link w:val="3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9">
    <w:name w:val="引用 字符"/>
    <w:basedOn w:val="24"/>
    <w:link w:val="38"/>
    <w:qFormat/>
    <w:uiPriority w:val="29"/>
    <w:rPr>
      <w:i/>
      <w:iCs/>
      <w:color w:val="404040" w:themeColor="text1" w:themeTint="BF"/>
      <w14:textFill>
        <w14:solidFill>
          <w14:schemeClr w14:val="tx1">
            <w14:lumMod w14:val="75000"/>
            <w14:lumOff w14:val="25000"/>
          </w14:schemeClr>
        </w14:solidFill>
      </w14:textFill>
    </w:rPr>
  </w:style>
  <w:style w:type="paragraph" w:styleId="40">
    <w:name w:val="List Paragraph"/>
    <w:basedOn w:val="1"/>
    <w:qFormat/>
    <w:uiPriority w:val="34"/>
    <w:pPr>
      <w:ind w:left="720"/>
      <w:contextualSpacing/>
    </w:pPr>
  </w:style>
  <w:style w:type="character" w:customStyle="1" w:styleId="41">
    <w:name w:val="明显强调1"/>
    <w:basedOn w:val="24"/>
    <w:qFormat/>
    <w:uiPriority w:val="21"/>
    <w:rPr>
      <w:i/>
      <w:iCs/>
      <w:color w:val="104862" w:themeColor="accent1" w:themeShade="BF"/>
    </w:rPr>
  </w:style>
  <w:style w:type="paragraph" w:styleId="42">
    <w:name w:val="Intense Quote"/>
    <w:basedOn w:val="1"/>
    <w:next w:val="1"/>
    <w:link w:val="4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3">
    <w:name w:val="明显引用 字符"/>
    <w:basedOn w:val="24"/>
    <w:link w:val="42"/>
    <w:qFormat/>
    <w:uiPriority w:val="30"/>
    <w:rPr>
      <w:i/>
      <w:iCs/>
      <w:color w:val="104862" w:themeColor="accent1" w:themeShade="BF"/>
    </w:rPr>
  </w:style>
  <w:style w:type="character" w:customStyle="1" w:styleId="44">
    <w:name w:val="明显参考1"/>
    <w:basedOn w:val="24"/>
    <w:qFormat/>
    <w:uiPriority w:val="32"/>
    <w:rPr>
      <w:b/>
      <w:bCs/>
      <w:smallCaps/>
      <w:color w:val="104862" w:themeColor="accent1" w:themeShade="BF"/>
      <w:spacing w:val="5"/>
    </w:rPr>
  </w:style>
  <w:style w:type="character" w:customStyle="1" w:styleId="45">
    <w:name w:val="页眉 字符"/>
    <w:basedOn w:val="24"/>
    <w:link w:val="18"/>
    <w:qFormat/>
    <w:uiPriority w:val="99"/>
    <w:rPr>
      <w:sz w:val="18"/>
      <w:szCs w:val="18"/>
    </w:rPr>
  </w:style>
  <w:style w:type="character" w:customStyle="1" w:styleId="46">
    <w:name w:val="页脚 字符"/>
    <w:basedOn w:val="24"/>
    <w:link w:val="17"/>
    <w:qFormat/>
    <w:uiPriority w:val="99"/>
    <w:rPr>
      <w:sz w:val="18"/>
      <w:szCs w:val="18"/>
    </w:rPr>
  </w:style>
  <w:style w:type="character" w:customStyle="1" w:styleId="47">
    <w:name w:val="日期 字符"/>
    <w:basedOn w:val="24"/>
    <w:link w:val="16"/>
    <w:qFormat/>
    <w:uiPriority w:val="0"/>
    <w:rPr>
      <w:rFonts w:ascii="Times New Roman" w:hAnsi="Times New Roman" w:eastAsia="黑体" w:cs="Times New Roman"/>
      <w:kern w:val="0"/>
      <w:sz w:val="32"/>
    </w:rPr>
  </w:style>
  <w:style w:type="paragraph" w:customStyle="1" w:styleId="48">
    <w:name w:val="正文文本首行缩进 21"/>
    <w:basedOn w:val="3"/>
    <w:unhideWhenUsed/>
    <w:qFormat/>
    <w:uiPriority w:val="99"/>
    <w:pPr>
      <w:ind w:firstLine="420" w:firstLineChars="200"/>
    </w:pPr>
    <w:rPr>
      <w:rFonts w:ascii="宋体"/>
      <w:spacing w:val="-4"/>
    </w:rPr>
  </w:style>
  <w:style w:type="character" w:customStyle="1" w:styleId="49">
    <w:name w:val="正文文本缩进 字符"/>
    <w:basedOn w:val="24"/>
    <w:link w:val="3"/>
    <w:semiHidden/>
    <w:qFormat/>
    <w:uiPriority w:val="99"/>
    <w:rPr>
      <w:rFonts w:ascii="Times New Roman" w:hAnsi="Times New Roman" w:eastAsia="宋体" w:cs="Times New Roman"/>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31</Pages>
  <Words>13817</Words>
  <Characters>15860</Characters>
  <Lines>71</Lines>
  <Paragraphs>20</Paragraphs>
  <TotalTime>8</TotalTime>
  <ScaleCrop>false</ScaleCrop>
  <LinksUpToDate>false</LinksUpToDate>
  <CharactersWithSpaces>17469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2024-05-30T14:11:00Z</dcterms:created>
  <dc:creator>冰灵钰</dc:creator>
  <cp:lastModifiedBy>王运钰</cp:lastModifiedBy>
  <dcterms:modified xsi:type="dcterms:W3CDTF">2024-10-24T07:37:42Z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3B97F29A356B42EAA826060C211AF1C7_13</vt:lpwstr>
  </property>
</Properties>
</file>