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49D07F0">
      <w:pPr>
        <w:rPr>
          <w:rFonts w:hint="eastAsia" w:ascii="华文中宋" w:hAnsi="华文中宋" w:eastAsia="华文中宋"/>
          <w:bCs/>
          <w:color w:val="0D0D0D"/>
          <w:sz w:val="30"/>
        </w:rPr>
      </w:pPr>
    </w:p>
    <w:p w14:paraId="2CD69790">
      <w:pPr>
        <w:rPr>
          <w:rFonts w:hint="eastAsia" w:ascii="华文中宋" w:hAnsi="华文中宋" w:eastAsia="华文中宋"/>
          <w:bCs/>
          <w:color w:val="0D0D0D"/>
          <w:sz w:val="30"/>
        </w:rPr>
      </w:pPr>
    </w:p>
    <w:p w14:paraId="4C28FA63">
      <w:pPr>
        <w:spacing w:line="300" w:lineRule="auto"/>
        <w:rPr>
          <w:rFonts w:hint="eastAsia" w:ascii="宋体" w:hAnsi="宋体"/>
          <w:color w:val="000000"/>
          <w:sz w:val="28"/>
          <w:szCs w:val="28"/>
        </w:rPr>
      </w:pPr>
      <w:r>
        <w:rPr>
          <w:rFonts w:hint="eastAsia" w:ascii="宋体" w:hAnsi="宋体"/>
          <w:color w:val="000000"/>
          <w:sz w:val="28"/>
          <w:szCs w:val="28"/>
        </w:rPr>
        <w:t>项目名称：2026年网络安全检测专项服务及网络安全等级保护测评 </w:t>
      </w:r>
    </w:p>
    <w:p w14:paraId="1D2C7805">
      <w:pPr>
        <w:spacing w:line="300" w:lineRule="auto"/>
        <w:rPr>
          <w:rFonts w:hint="eastAsia" w:ascii="宋体" w:hAnsi="宋体"/>
          <w:color w:val="000000"/>
          <w:sz w:val="28"/>
          <w:szCs w:val="28"/>
        </w:rPr>
      </w:pPr>
      <w:r>
        <w:rPr>
          <w:rFonts w:hint="eastAsia" w:ascii="宋体" w:hAnsi="宋体"/>
          <w:color w:val="000000"/>
          <w:sz w:val="28"/>
          <w:szCs w:val="28"/>
        </w:rPr>
        <w:t>项目编号：JSITFW2026063003</w:t>
      </w:r>
    </w:p>
    <w:p w14:paraId="52DDB04A">
      <w:pPr>
        <w:rPr>
          <w:rFonts w:hint="eastAsia" w:ascii="华文中宋" w:hAnsi="华文中宋" w:eastAsia="华文中宋"/>
          <w:bCs/>
          <w:color w:val="000000"/>
          <w:sz w:val="30"/>
          <w:szCs w:val="30"/>
        </w:rPr>
      </w:pPr>
    </w:p>
    <w:p w14:paraId="659219A1">
      <w:pPr>
        <w:rPr>
          <w:rFonts w:hint="eastAsia" w:ascii="华文中宋" w:hAnsi="华文中宋" w:eastAsia="华文中宋"/>
          <w:bCs/>
          <w:color w:val="000000"/>
          <w:sz w:val="32"/>
        </w:rPr>
      </w:pPr>
    </w:p>
    <w:p w14:paraId="5E41D35C">
      <w:pPr>
        <w:rPr>
          <w:rFonts w:hint="eastAsia" w:ascii="华文中宋" w:hAnsi="华文中宋" w:eastAsia="华文中宋"/>
          <w:bCs/>
          <w:color w:val="000000"/>
          <w:sz w:val="32"/>
        </w:rPr>
      </w:pPr>
    </w:p>
    <w:p w14:paraId="634EB753">
      <w:pPr>
        <w:rPr>
          <w:rFonts w:hint="eastAsia" w:ascii="华文中宋" w:hAnsi="华文中宋" w:eastAsia="华文中宋"/>
          <w:bCs/>
          <w:color w:val="000000"/>
          <w:sz w:val="32"/>
        </w:rPr>
      </w:pPr>
    </w:p>
    <w:p w14:paraId="654BCBF6">
      <w:pPr>
        <w:rPr>
          <w:rFonts w:hint="eastAsia" w:ascii="华文中宋" w:hAnsi="华文中宋" w:eastAsia="华文中宋"/>
          <w:bCs/>
          <w:color w:val="000000"/>
          <w:sz w:val="32"/>
        </w:rPr>
      </w:pPr>
    </w:p>
    <w:p w14:paraId="3B408371">
      <w:pPr>
        <w:rPr>
          <w:rFonts w:hint="eastAsia" w:ascii="华文中宋" w:hAnsi="华文中宋" w:eastAsia="华文中宋"/>
          <w:bCs/>
          <w:color w:val="000000"/>
          <w:sz w:val="32"/>
        </w:rPr>
      </w:pPr>
    </w:p>
    <w:p w14:paraId="5EE08186">
      <w:pPr>
        <w:rPr>
          <w:rFonts w:hint="eastAsia" w:ascii="华文中宋" w:hAnsi="华文中宋" w:eastAsia="华文中宋"/>
          <w:bCs/>
          <w:color w:val="000000"/>
          <w:sz w:val="32"/>
        </w:rPr>
      </w:pPr>
    </w:p>
    <w:p w14:paraId="62C21215">
      <w:pPr>
        <w:rPr>
          <w:rFonts w:hint="eastAsia" w:ascii="华文中宋" w:hAnsi="华文中宋" w:eastAsia="华文中宋"/>
          <w:bCs/>
          <w:color w:val="000000"/>
          <w:sz w:val="32"/>
        </w:rPr>
      </w:pPr>
    </w:p>
    <w:p w14:paraId="2CB88AE3">
      <w:pPr>
        <w:jc w:val="left"/>
        <w:rPr>
          <w:rFonts w:hint="eastAsia" w:ascii="华文中宋" w:hAnsi="华文中宋" w:eastAsia="华文中宋"/>
          <w:bCs/>
          <w:color w:val="000000"/>
          <w:sz w:val="32"/>
        </w:rPr>
      </w:pPr>
    </w:p>
    <w:p w14:paraId="5360CBEC">
      <w:pPr>
        <w:jc w:val="center"/>
        <w:rPr>
          <w:rFonts w:hint="eastAsia" w:ascii="宋体" w:hAnsi="宋体"/>
          <w:color w:val="000000"/>
          <w:sz w:val="32"/>
        </w:rPr>
      </w:pPr>
      <w:r>
        <w:rPr>
          <w:rFonts w:hint="eastAsia" w:ascii="宋体" w:hAnsi="宋体"/>
          <w:color w:val="000000"/>
          <w:sz w:val="32"/>
        </w:rPr>
        <w:t>江苏信息职业技术学院招投标中心</w:t>
      </w:r>
    </w:p>
    <w:p w14:paraId="0F91F413">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6</w:t>
      </w:r>
      <w:r>
        <w:rPr>
          <w:rFonts w:hint="eastAsia" w:ascii="宋体" w:hAnsi="宋体" w:eastAsia="宋体"/>
          <w:color w:val="000000"/>
        </w:rPr>
        <w:t>月</w:t>
      </w:r>
      <w:r>
        <w:rPr>
          <w:rFonts w:hint="eastAsia" w:ascii="宋体" w:hAnsi="宋体" w:eastAsia="宋体"/>
          <w:color w:val="000000"/>
          <w:lang w:val="en-US" w:eastAsia="zh-CN"/>
        </w:rPr>
        <w:t>30</w:t>
      </w:r>
      <w:r>
        <w:rPr>
          <w:rFonts w:hint="eastAsia" w:ascii="宋体" w:hAnsi="宋体" w:eastAsia="宋体"/>
          <w:color w:val="000000"/>
        </w:rPr>
        <w:t>日</w:t>
      </w:r>
    </w:p>
    <w:p w14:paraId="4DE808AD">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2C19DDC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hint="eastAsia" w:ascii="宋体" w:hAnsi="宋体"/>
          <w:color w:val="000000"/>
          <w:spacing w:val="4"/>
          <w:sz w:val="24"/>
        </w:rPr>
      </w:pPr>
    </w:p>
    <w:p w14:paraId="615CA1F1">
      <w:pPr>
        <w:spacing w:line="360" w:lineRule="auto"/>
        <w:ind w:firstLine="470" w:firstLineChars="196"/>
        <w:rPr>
          <w:rFonts w:hint="eastAsia" w:ascii="宋体" w:hAnsi="宋体" w:cs="宋体"/>
          <w:color w:val="000000"/>
          <w:kern w:val="0"/>
          <w:sz w:val="24"/>
        </w:rPr>
      </w:pPr>
      <w:bookmarkStart w:id="25" w:name="_GoBack"/>
      <w:r>
        <w:rPr>
          <w:rFonts w:hint="eastAsia" w:ascii="宋体" w:hAnsi="宋体" w:cs="宋体"/>
          <w:color w:val="000000"/>
          <w:kern w:val="0"/>
          <w:sz w:val="24"/>
        </w:rPr>
        <w:t>江苏信息职业技术学院招投标中心受学校委托，就学校采购2026年网络安全检测专项服务及网络安全等级保护测评项目进行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34B31A0">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名称：2026年网络安全检测专项服务及网络安全等级保护测评 </w:t>
      </w:r>
    </w:p>
    <w:p w14:paraId="14DBC148">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编号：JSITFW2026063003</w:t>
      </w:r>
    </w:p>
    <w:p w14:paraId="5BD1614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767B74D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w:t>
      </w:r>
      <w:r>
        <w:rPr>
          <w:rFonts w:hint="eastAsia" w:ascii="宋体" w:hAnsi="宋体"/>
          <w:b/>
          <w:color w:val="000000"/>
          <w:spacing w:val="4"/>
          <w:sz w:val="24"/>
        </w:rPr>
        <w:t>万元</w:t>
      </w:r>
    </w:p>
    <w:p w14:paraId="29FA3432">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7</w:t>
      </w:r>
      <w:r>
        <w:rPr>
          <w:rFonts w:hint="eastAsia"/>
          <w:color w:val="000000"/>
          <w:sz w:val="24"/>
        </w:rPr>
        <w:t>月</w:t>
      </w:r>
      <w:r>
        <w:rPr>
          <w:rFonts w:hint="eastAsia"/>
          <w:color w:val="000000"/>
          <w:sz w:val="24"/>
          <w:lang w:val="en-US" w:eastAsia="zh-CN"/>
        </w:rPr>
        <w:t>10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日9时00分</w:t>
      </w:r>
    </w:p>
    <w:p w14:paraId="4698A281">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日9时30分</w:t>
      </w:r>
    </w:p>
    <w:p w14:paraId="7A43BB57">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日9时30分</w:t>
      </w:r>
    </w:p>
    <w:p w14:paraId="710B65B6">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0B46723">
      <w:pPr>
        <w:spacing w:line="360" w:lineRule="auto"/>
        <w:ind w:firstLine="969" w:firstLineChars="391"/>
        <w:rPr>
          <w:color w:val="000000"/>
          <w:spacing w:val="4"/>
          <w:sz w:val="24"/>
        </w:rPr>
      </w:pPr>
      <w:r>
        <w:rPr>
          <w:rFonts w:hint="eastAsia"/>
          <w:color w:val="000000"/>
          <w:spacing w:val="4"/>
          <w:sz w:val="24"/>
        </w:rPr>
        <w:t>技术联系人：陆老师</w:t>
      </w:r>
    </w:p>
    <w:p w14:paraId="65D9A5DA">
      <w:pPr>
        <w:spacing w:line="360" w:lineRule="auto"/>
        <w:ind w:firstLine="969" w:firstLineChars="391"/>
        <w:rPr>
          <w:color w:val="000000"/>
          <w:spacing w:val="4"/>
          <w:sz w:val="24"/>
        </w:rPr>
      </w:pPr>
      <w:r>
        <w:rPr>
          <w:rFonts w:hint="eastAsia"/>
          <w:color w:val="000000"/>
          <w:spacing w:val="4"/>
          <w:sz w:val="24"/>
        </w:rPr>
        <w:t>联系电话：13656178081</w:t>
      </w:r>
    </w:p>
    <w:p w14:paraId="65DA62AD">
      <w:pPr>
        <w:spacing w:line="360" w:lineRule="auto"/>
        <w:ind w:firstLine="969" w:firstLineChars="391"/>
        <w:rPr>
          <w:color w:val="000000"/>
          <w:spacing w:val="4"/>
          <w:sz w:val="24"/>
        </w:rPr>
      </w:pPr>
      <w:r>
        <w:rPr>
          <w:rFonts w:hint="eastAsia"/>
          <w:color w:val="000000"/>
          <w:spacing w:val="4"/>
          <w:sz w:val="24"/>
        </w:rPr>
        <w:t>商务联系人：王老师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7</w:t>
      </w:r>
      <w:r>
        <w:rPr>
          <w:rFonts w:hint="eastAsia"/>
          <w:color w:val="000000"/>
          <w:spacing w:val="4"/>
          <w:sz w:val="24"/>
        </w:rPr>
        <w:t>月</w:t>
      </w:r>
      <w:r>
        <w:rPr>
          <w:rFonts w:hint="eastAsia"/>
          <w:color w:val="000000"/>
          <w:spacing w:val="4"/>
          <w:sz w:val="24"/>
          <w:lang w:val="en-US" w:eastAsia="zh-CN"/>
        </w:rPr>
        <w:t>6</w:t>
      </w:r>
      <w:r>
        <w:rPr>
          <w:rFonts w:hint="eastAsia"/>
          <w:color w:val="000000"/>
          <w:spacing w:val="4"/>
          <w:sz w:val="24"/>
        </w:rPr>
        <w:t>日</w:t>
      </w:r>
    </w:p>
    <w:bookmarkEnd w:id="25"/>
    <w:p w14:paraId="2F8C8C83">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hint="eastAsia"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236445CB">
            <w:pPr>
              <w:tabs>
                <w:tab w:val="left" w:pos="945"/>
              </w:tabs>
              <w:adjustRightInd w:val="0"/>
              <w:snapToGrid w:val="0"/>
              <w:spacing w:line="360" w:lineRule="auto"/>
              <w:rPr>
                <w:rFonts w:hint="eastAsia"/>
                <w:sz w:val="24"/>
              </w:rPr>
            </w:pPr>
            <w:r>
              <w:rPr>
                <w:rFonts w:hint="eastAsia"/>
                <w:sz w:val="24"/>
              </w:rPr>
              <w:t>投标价格（</w:t>
            </w:r>
            <w:r>
              <w:rPr>
                <w:rFonts w:hint="eastAsia"/>
                <w:sz w:val="24"/>
                <w:lang w:val="en-US" w:eastAsia="zh-CN"/>
              </w:rPr>
              <w:t>20</w:t>
            </w:r>
            <w:r>
              <w:rPr>
                <w:rFonts w:hint="eastAsia"/>
                <w:sz w:val="24"/>
              </w:rPr>
              <w:t>分）</w:t>
            </w:r>
          </w:p>
        </w:tc>
        <w:tc>
          <w:tcPr>
            <w:tcW w:w="6664" w:type="dxa"/>
            <w:vAlign w:val="center"/>
          </w:tcPr>
          <w:p w14:paraId="6A810DC7">
            <w:pPr>
              <w:tabs>
                <w:tab w:val="left" w:pos="945"/>
              </w:tabs>
              <w:adjustRightInd w:val="0"/>
              <w:snapToGrid w:val="0"/>
              <w:spacing w:line="360" w:lineRule="auto"/>
              <w:rPr>
                <w:rFonts w:hint="eastAsia"/>
                <w:sz w:val="24"/>
              </w:rPr>
            </w:pPr>
            <w:r>
              <w:rPr>
                <w:rFonts w:hint="eastAsia"/>
                <w:sz w:val="24"/>
              </w:rPr>
              <w:t>采用低价优先法计算，即满足招标文件要求且投标价格最低的投标报价为评标基准价，其价格分为满分。其他投标人的价格分统一按照下列公式计算（计算结果四舍五入，保留小数点后2位）：</w:t>
            </w:r>
          </w:p>
          <w:p w14:paraId="28EA3942">
            <w:pPr>
              <w:tabs>
                <w:tab w:val="left" w:pos="945"/>
              </w:tabs>
              <w:adjustRightInd w:val="0"/>
              <w:snapToGrid w:val="0"/>
              <w:spacing w:line="360" w:lineRule="auto"/>
              <w:rPr>
                <w:rFonts w:hint="eastAsia"/>
                <w:sz w:val="24"/>
              </w:rPr>
            </w:pPr>
            <w:r>
              <w:rPr>
                <w:rFonts w:hint="eastAsia"/>
                <w:sz w:val="24"/>
              </w:rPr>
              <w:t>投标报价得分=（评标基准价／投标报价）×</w:t>
            </w:r>
            <w:r>
              <w:rPr>
                <w:rFonts w:hint="eastAsia"/>
                <w:sz w:val="24"/>
                <w:lang w:val="en-US" w:eastAsia="zh-CN"/>
              </w:rPr>
              <w:t>20</w:t>
            </w:r>
            <w:r>
              <w:rPr>
                <w:rFonts w:hint="eastAsia"/>
                <w:sz w:val="24"/>
              </w:rPr>
              <w:t>。</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F8972CA">
            <w:pPr>
              <w:tabs>
                <w:tab w:val="left" w:pos="945"/>
              </w:tabs>
              <w:adjustRightInd w:val="0"/>
              <w:snapToGrid w:val="0"/>
              <w:spacing w:line="360" w:lineRule="auto"/>
              <w:rPr>
                <w:rFonts w:hint="default"/>
                <w:sz w:val="24"/>
                <w:lang w:val="en-US" w:eastAsia="zh-CN"/>
              </w:rPr>
            </w:pPr>
            <w:r>
              <w:rPr>
                <w:rFonts w:hint="eastAsia"/>
                <w:sz w:val="24"/>
                <w:lang w:val="en-US" w:eastAsia="zh-CN"/>
              </w:rPr>
              <w:t>企业业绩（5分）</w:t>
            </w:r>
          </w:p>
        </w:tc>
        <w:tc>
          <w:tcPr>
            <w:tcW w:w="6664" w:type="dxa"/>
            <w:vAlign w:val="center"/>
          </w:tcPr>
          <w:p w14:paraId="4E713AE6">
            <w:pPr>
              <w:tabs>
                <w:tab w:val="left" w:pos="945"/>
              </w:tabs>
              <w:adjustRightInd w:val="0"/>
              <w:snapToGrid w:val="0"/>
              <w:spacing w:line="360" w:lineRule="auto"/>
              <w:rPr>
                <w:rFonts w:hint="eastAsia"/>
                <w:sz w:val="24"/>
              </w:rPr>
            </w:pPr>
            <w:r>
              <w:rPr>
                <w:rFonts w:hint="eastAsia"/>
                <w:sz w:val="24"/>
              </w:rPr>
              <w:t>投标供应商提供2023年以来的网络安全运维服务、安全监测服务、应急响应服务、重保服务等项目案例，须提供相关合同复印件，加盖公章，现场备查。提供一份得1分，最多得5分。无法提供不得分。</w:t>
            </w:r>
          </w:p>
        </w:tc>
      </w:tr>
      <w:tr w14:paraId="1181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7408B7D">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096003CA">
            <w:pPr>
              <w:tabs>
                <w:tab w:val="left" w:pos="945"/>
              </w:tabs>
              <w:adjustRightInd w:val="0"/>
              <w:snapToGrid w:val="0"/>
              <w:spacing w:line="360" w:lineRule="auto"/>
              <w:rPr>
                <w:rFonts w:hint="eastAsia"/>
                <w:sz w:val="24"/>
                <w:lang w:val="en-US" w:eastAsia="zh-CN"/>
              </w:rPr>
            </w:pPr>
            <w:r>
              <w:rPr>
                <w:rFonts w:hint="eastAsia"/>
                <w:sz w:val="24"/>
              </w:rPr>
              <w:t>企业实力（5分）</w:t>
            </w:r>
          </w:p>
        </w:tc>
        <w:tc>
          <w:tcPr>
            <w:tcW w:w="6664" w:type="dxa"/>
            <w:vAlign w:val="center"/>
          </w:tcPr>
          <w:p w14:paraId="1BE1FABD">
            <w:pPr>
              <w:tabs>
                <w:tab w:val="left" w:pos="945"/>
              </w:tabs>
              <w:adjustRightInd w:val="0"/>
              <w:snapToGrid w:val="0"/>
              <w:spacing w:line="360" w:lineRule="auto"/>
              <w:rPr>
                <w:rFonts w:hint="eastAsia"/>
                <w:sz w:val="24"/>
              </w:rPr>
            </w:pPr>
            <w:r>
              <w:rPr>
                <w:rFonts w:hint="eastAsia"/>
                <w:sz w:val="24"/>
              </w:rPr>
              <w:t>投标供应商提供2023年以来获得市级（含）以上网安行动应急演练、实战演练、优秀攻击队伍、优秀支撑单位等，提供一个得</w:t>
            </w:r>
            <w:r>
              <w:rPr>
                <w:rFonts w:hint="eastAsia"/>
                <w:sz w:val="24"/>
                <w:lang w:val="en-US" w:eastAsia="zh-CN"/>
              </w:rPr>
              <w:t>1</w:t>
            </w:r>
            <w:r>
              <w:rPr>
                <w:rFonts w:hint="eastAsia"/>
                <w:sz w:val="24"/>
              </w:rPr>
              <w:t>分，最高得</w:t>
            </w:r>
            <w:r>
              <w:rPr>
                <w:rFonts w:hint="eastAsia"/>
                <w:sz w:val="24"/>
                <w:lang w:val="en-US" w:eastAsia="zh-CN"/>
              </w:rPr>
              <w:t>5</w:t>
            </w:r>
            <w:r>
              <w:rPr>
                <w:rFonts w:hint="eastAsia"/>
                <w:sz w:val="24"/>
              </w:rPr>
              <w:t>分。（提供证明文件并加盖公章）。</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restart"/>
            <w:noWrap/>
            <w:vAlign w:val="center"/>
          </w:tcPr>
          <w:p w14:paraId="53511706">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vMerge w:val="restart"/>
            <w:noWrap/>
            <w:vAlign w:val="center"/>
          </w:tcPr>
          <w:p w14:paraId="393D48B6">
            <w:pPr>
              <w:tabs>
                <w:tab w:val="left" w:pos="945"/>
              </w:tabs>
              <w:adjustRightInd w:val="0"/>
              <w:snapToGrid w:val="0"/>
              <w:spacing w:line="360" w:lineRule="auto"/>
              <w:rPr>
                <w:rFonts w:hint="eastAsia"/>
                <w:sz w:val="24"/>
                <w:lang w:val="en-US" w:eastAsia="zh-CN"/>
              </w:rPr>
            </w:pPr>
            <w:r>
              <w:rPr>
                <w:rFonts w:hint="eastAsia"/>
                <w:sz w:val="24"/>
              </w:rPr>
              <w:t>服务人员配置（</w:t>
            </w:r>
            <w:r>
              <w:rPr>
                <w:rFonts w:hint="eastAsia"/>
                <w:sz w:val="24"/>
                <w:lang w:val="en-US" w:eastAsia="zh-CN"/>
              </w:rPr>
              <w:t>10</w:t>
            </w:r>
            <w:r>
              <w:rPr>
                <w:rFonts w:hint="eastAsia"/>
                <w:sz w:val="24"/>
              </w:rPr>
              <w:t>分）</w:t>
            </w:r>
          </w:p>
        </w:tc>
        <w:tc>
          <w:tcPr>
            <w:tcW w:w="6664" w:type="dxa"/>
            <w:vAlign w:val="center"/>
          </w:tcPr>
          <w:p w14:paraId="0E7AEDCE">
            <w:pPr>
              <w:tabs>
                <w:tab w:val="left" w:pos="945"/>
              </w:tabs>
              <w:adjustRightInd w:val="0"/>
              <w:snapToGrid w:val="0"/>
              <w:spacing w:line="360" w:lineRule="auto"/>
              <w:rPr>
                <w:rFonts w:hint="eastAsia"/>
                <w:sz w:val="24"/>
              </w:rPr>
            </w:pPr>
            <w:r>
              <w:rPr>
                <w:rFonts w:hint="eastAsia"/>
                <w:sz w:val="24"/>
              </w:rPr>
              <w:t>项目经理（与项目团队其他成员不可重复）具有项目经理证书PMP、注册渗透测试资质CISP-PTE/CISP-PTS、注册应急响应资质CISP-IRE/CISP-IRS、注册数据安全治理专业人员CISP-DSG、数据安全专家CDSP、CCRC数据安全官等证书，每提供一种证书得1分，最高得</w:t>
            </w:r>
            <w:r>
              <w:rPr>
                <w:rFonts w:hint="eastAsia"/>
                <w:sz w:val="24"/>
                <w:lang w:val="en-US" w:eastAsia="zh-CN"/>
              </w:rPr>
              <w:t>3</w:t>
            </w:r>
            <w:r>
              <w:rPr>
                <w:rFonts w:hint="eastAsia"/>
                <w:sz w:val="24"/>
              </w:rPr>
              <w:t>分，不提供不得分；</w:t>
            </w:r>
          </w:p>
          <w:p w14:paraId="46A69683">
            <w:pPr>
              <w:tabs>
                <w:tab w:val="left" w:pos="945"/>
              </w:tabs>
              <w:adjustRightInd w:val="0"/>
              <w:snapToGrid w:val="0"/>
              <w:spacing w:line="360" w:lineRule="auto"/>
              <w:rPr>
                <w:rFonts w:hint="eastAsia"/>
                <w:sz w:val="24"/>
                <w:lang w:val="en-US" w:eastAsia="zh-CN"/>
              </w:rPr>
            </w:pPr>
            <w:r>
              <w:rPr>
                <w:rFonts w:hint="eastAsia"/>
                <w:b/>
                <w:bCs/>
                <w:sz w:val="24"/>
              </w:rPr>
              <w:t>投标供应商提供项目经理及服务人员的相关证书扫描件以及投标人为其缴纳的本项目开标时间前6个月内任何1月的社会保障资金证明。</w:t>
            </w:r>
          </w:p>
        </w:tc>
      </w:tr>
      <w:tr w14:paraId="2347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154D3830">
            <w:pPr>
              <w:tabs>
                <w:tab w:val="left" w:pos="840"/>
                <w:tab w:val="left" w:pos="1050"/>
              </w:tabs>
              <w:adjustRightInd w:val="0"/>
              <w:snapToGrid w:val="0"/>
              <w:spacing w:line="460" w:lineRule="exact"/>
              <w:jc w:val="left"/>
            </w:pPr>
          </w:p>
        </w:tc>
        <w:tc>
          <w:tcPr>
            <w:tcW w:w="2419" w:type="dxa"/>
            <w:vMerge w:val="continue"/>
            <w:noWrap/>
            <w:vAlign w:val="center"/>
          </w:tcPr>
          <w:p w14:paraId="37D0132B">
            <w:pPr>
              <w:tabs>
                <w:tab w:val="left" w:pos="945"/>
              </w:tabs>
              <w:adjustRightInd w:val="0"/>
              <w:snapToGrid w:val="0"/>
              <w:spacing w:line="360" w:lineRule="auto"/>
              <w:rPr>
                <w:rFonts w:hint="eastAsia"/>
                <w:sz w:val="24"/>
                <w:lang w:val="en-US" w:eastAsia="zh-CN"/>
              </w:rPr>
            </w:pPr>
          </w:p>
        </w:tc>
        <w:tc>
          <w:tcPr>
            <w:tcW w:w="6664" w:type="dxa"/>
            <w:vAlign w:val="center"/>
          </w:tcPr>
          <w:p w14:paraId="21E497A7">
            <w:pPr>
              <w:tabs>
                <w:tab w:val="left" w:pos="945"/>
              </w:tabs>
              <w:adjustRightInd w:val="0"/>
              <w:snapToGrid w:val="0"/>
              <w:spacing w:line="360" w:lineRule="auto"/>
              <w:rPr>
                <w:rFonts w:hint="eastAsia"/>
                <w:sz w:val="24"/>
              </w:rPr>
            </w:pPr>
            <w:r>
              <w:rPr>
                <w:rFonts w:hint="eastAsia"/>
                <w:sz w:val="24"/>
              </w:rPr>
              <w:t>拟配备技术负责人（与项目团队其他成员不可重复）：具有项目经理证书PMP、注册渗透测试资质CISP-PTE/CISP-PTS、注册应急响应资质CISP-IRE/CISP-IRS、注册数据安全治理专业人员CISP-DSG、数据安全专家CDSP、CCRC数据安全官等证书，每提供一种证书得1分，最高得</w:t>
            </w:r>
            <w:r>
              <w:rPr>
                <w:rFonts w:hint="eastAsia"/>
                <w:sz w:val="24"/>
                <w:lang w:val="en-US" w:eastAsia="zh-CN"/>
              </w:rPr>
              <w:t>3</w:t>
            </w:r>
            <w:r>
              <w:rPr>
                <w:rFonts w:hint="eastAsia"/>
                <w:sz w:val="24"/>
              </w:rPr>
              <w:t>分；</w:t>
            </w:r>
          </w:p>
          <w:p w14:paraId="140BD821">
            <w:pPr>
              <w:tabs>
                <w:tab w:val="left" w:pos="945"/>
              </w:tabs>
              <w:adjustRightInd w:val="0"/>
              <w:snapToGrid w:val="0"/>
              <w:spacing w:line="360" w:lineRule="auto"/>
              <w:rPr>
                <w:rFonts w:hint="default"/>
                <w:sz w:val="24"/>
                <w:lang w:val="en-US" w:eastAsia="zh-CN"/>
              </w:rPr>
            </w:pPr>
            <w:r>
              <w:rPr>
                <w:rFonts w:hint="eastAsia"/>
                <w:b/>
                <w:bCs/>
                <w:sz w:val="24"/>
              </w:rPr>
              <w:t>投标供应商提供项目经理及服务人员的相关证书扫描件以及投标人为其缴纳的本项目开标时间前6个月内任何1月的社会保障资金证明</w:t>
            </w:r>
            <w:r>
              <w:rPr>
                <w:rFonts w:hint="eastAsia"/>
                <w:sz w:val="24"/>
              </w:rPr>
              <w:t>。</w:t>
            </w:r>
          </w:p>
        </w:tc>
      </w:tr>
      <w:tr w14:paraId="3C67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68EE8B94">
            <w:pPr>
              <w:tabs>
                <w:tab w:val="left" w:pos="840"/>
                <w:tab w:val="left" w:pos="1050"/>
              </w:tabs>
              <w:adjustRightInd w:val="0"/>
              <w:snapToGrid w:val="0"/>
              <w:spacing w:line="460" w:lineRule="exact"/>
              <w:jc w:val="left"/>
            </w:pPr>
          </w:p>
        </w:tc>
        <w:tc>
          <w:tcPr>
            <w:tcW w:w="2419" w:type="dxa"/>
            <w:vMerge w:val="continue"/>
            <w:noWrap/>
            <w:vAlign w:val="center"/>
          </w:tcPr>
          <w:p w14:paraId="782988D9">
            <w:pPr>
              <w:tabs>
                <w:tab w:val="left" w:pos="945"/>
              </w:tabs>
              <w:adjustRightInd w:val="0"/>
              <w:snapToGrid w:val="0"/>
              <w:spacing w:line="360" w:lineRule="auto"/>
              <w:rPr>
                <w:rFonts w:hint="eastAsia"/>
                <w:sz w:val="24"/>
                <w:lang w:val="en-US" w:eastAsia="zh-CN"/>
              </w:rPr>
            </w:pPr>
          </w:p>
        </w:tc>
        <w:tc>
          <w:tcPr>
            <w:tcW w:w="6664" w:type="dxa"/>
            <w:vAlign w:val="center"/>
          </w:tcPr>
          <w:p w14:paraId="6CD74A17">
            <w:pPr>
              <w:tabs>
                <w:tab w:val="left" w:pos="945"/>
              </w:tabs>
              <w:adjustRightInd w:val="0"/>
              <w:snapToGrid w:val="0"/>
              <w:spacing w:line="360" w:lineRule="auto"/>
              <w:rPr>
                <w:rFonts w:hint="eastAsia"/>
                <w:sz w:val="24"/>
              </w:rPr>
            </w:pPr>
            <w:r>
              <w:rPr>
                <w:rFonts w:hint="eastAsia"/>
                <w:sz w:val="24"/>
              </w:rPr>
              <w:t>（3）投标供应商服务团队成员（项目经理和技术负责人除外）具有提供注册渗透测试CISP-PTE/CISP-PTS、注册数据安全治理专业人员CISP-DSG、数据安全专家CDSP、CCRC数据安全官、信息安全工程师CISP等证书，每提供一人具备任何一种证书（一人多证不重复得分）得1分,最高得</w:t>
            </w:r>
            <w:r>
              <w:rPr>
                <w:rFonts w:hint="eastAsia"/>
                <w:sz w:val="24"/>
                <w:lang w:val="en-US" w:eastAsia="zh-CN"/>
              </w:rPr>
              <w:t>4</w:t>
            </w:r>
            <w:r>
              <w:rPr>
                <w:rFonts w:hint="eastAsia"/>
                <w:sz w:val="24"/>
              </w:rPr>
              <w:t>分。</w:t>
            </w:r>
          </w:p>
          <w:p w14:paraId="0D3CC6C6">
            <w:pPr>
              <w:tabs>
                <w:tab w:val="left" w:pos="945"/>
              </w:tabs>
              <w:adjustRightInd w:val="0"/>
              <w:snapToGrid w:val="0"/>
              <w:spacing w:line="360" w:lineRule="auto"/>
              <w:rPr>
                <w:rFonts w:hint="default"/>
                <w:sz w:val="24"/>
                <w:lang w:val="en-US" w:eastAsia="zh-CN"/>
              </w:rPr>
            </w:pPr>
            <w:r>
              <w:rPr>
                <w:rFonts w:hint="eastAsia"/>
                <w:b/>
                <w:bCs/>
                <w:sz w:val="24"/>
              </w:rPr>
              <w:t>投标供应商提供项目经理及服务人员的相关证书扫描件以及投标人为其缴纳的本项目开标时间前6个月内任何1月的社会保障资金证明。</w:t>
            </w:r>
          </w:p>
        </w:tc>
      </w:tr>
      <w:tr w14:paraId="778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restart"/>
            <w:noWrap/>
            <w:vAlign w:val="center"/>
          </w:tcPr>
          <w:p w14:paraId="2091E8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5</w:t>
            </w:r>
          </w:p>
        </w:tc>
        <w:tc>
          <w:tcPr>
            <w:tcW w:w="2419" w:type="dxa"/>
            <w:vMerge w:val="restart"/>
            <w:noWrap/>
            <w:vAlign w:val="center"/>
          </w:tcPr>
          <w:p w14:paraId="291EC6CA">
            <w:pPr>
              <w:tabs>
                <w:tab w:val="left" w:pos="945"/>
              </w:tabs>
              <w:adjustRightInd w:val="0"/>
              <w:snapToGrid w:val="0"/>
              <w:spacing w:line="360" w:lineRule="auto"/>
              <w:rPr>
                <w:rFonts w:hint="default"/>
                <w:sz w:val="24"/>
                <w:lang w:val="en-US" w:eastAsia="zh-CN"/>
              </w:rPr>
            </w:pPr>
            <w:r>
              <w:rPr>
                <w:rFonts w:hint="eastAsia"/>
                <w:sz w:val="24"/>
              </w:rPr>
              <w:t>投标供应商资质（</w:t>
            </w:r>
            <w:r>
              <w:rPr>
                <w:rFonts w:hint="eastAsia"/>
                <w:sz w:val="24"/>
                <w:lang w:val="en-US" w:eastAsia="zh-CN"/>
              </w:rPr>
              <w:t>10</w:t>
            </w:r>
            <w:r>
              <w:rPr>
                <w:rFonts w:hint="eastAsia"/>
                <w:sz w:val="24"/>
              </w:rPr>
              <w:t>分）</w:t>
            </w:r>
          </w:p>
        </w:tc>
        <w:tc>
          <w:tcPr>
            <w:tcW w:w="6664" w:type="dxa"/>
            <w:vAlign w:val="center"/>
          </w:tcPr>
          <w:p w14:paraId="232820E8">
            <w:pPr>
              <w:tabs>
                <w:tab w:val="left" w:pos="945"/>
              </w:tabs>
              <w:adjustRightInd w:val="0"/>
              <w:snapToGrid w:val="0"/>
              <w:spacing w:line="360" w:lineRule="auto"/>
              <w:rPr>
                <w:rFonts w:hint="eastAsia"/>
                <w:sz w:val="24"/>
                <w:lang w:val="en-US" w:eastAsia="zh-CN"/>
              </w:rPr>
            </w:pPr>
            <w:r>
              <w:rPr>
                <w:rFonts w:hint="eastAsia"/>
                <w:sz w:val="24"/>
              </w:rPr>
              <w:t>（1）供应商具有质量管理体系认证证书、信息安全管理体系认证证书、信息技术服务管理体系，每提供一个得1分，本项最高得</w:t>
            </w:r>
            <w:r>
              <w:rPr>
                <w:rFonts w:hint="eastAsia"/>
                <w:sz w:val="24"/>
                <w:lang w:val="en-US" w:eastAsia="zh-CN"/>
              </w:rPr>
              <w:t>3</w:t>
            </w:r>
            <w:r>
              <w:rPr>
                <w:rFonts w:hint="eastAsia"/>
                <w:sz w:val="24"/>
              </w:rPr>
              <w:t>分，未提供的得0分；</w:t>
            </w:r>
          </w:p>
        </w:tc>
      </w:tr>
      <w:tr w14:paraId="1A23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continue"/>
            <w:noWrap/>
            <w:vAlign w:val="center"/>
          </w:tcPr>
          <w:p w14:paraId="51CD8CFC">
            <w:pPr>
              <w:tabs>
                <w:tab w:val="left" w:pos="840"/>
                <w:tab w:val="left" w:pos="1050"/>
              </w:tabs>
              <w:adjustRightInd w:val="0"/>
              <w:snapToGrid w:val="0"/>
              <w:spacing w:line="460" w:lineRule="exact"/>
              <w:jc w:val="left"/>
            </w:pPr>
          </w:p>
        </w:tc>
        <w:tc>
          <w:tcPr>
            <w:tcW w:w="2419" w:type="dxa"/>
            <w:vMerge w:val="continue"/>
            <w:noWrap/>
            <w:vAlign w:val="center"/>
          </w:tcPr>
          <w:p w14:paraId="63A8C7C5">
            <w:pPr>
              <w:tabs>
                <w:tab w:val="left" w:pos="945"/>
              </w:tabs>
              <w:adjustRightInd w:val="0"/>
              <w:snapToGrid w:val="0"/>
              <w:spacing w:line="360" w:lineRule="auto"/>
              <w:rPr>
                <w:rFonts w:hint="eastAsia"/>
                <w:sz w:val="24"/>
                <w:lang w:val="en-US" w:eastAsia="zh-CN"/>
              </w:rPr>
            </w:pPr>
          </w:p>
        </w:tc>
        <w:tc>
          <w:tcPr>
            <w:tcW w:w="6664" w:type="dxa"/>
            <w:vAlign w:val="center"/>
          </w:tcPr>
          <w:p w14:paraId="22C8385B">
            <w:pPr>
              <w:tabs>
                <w:tab w:val="left" w:pos="945"/>
              </w:tabs>
              <w:adjustRightInd w:val="0"/>
              <w:snapToGrid w:val="0"/>
              <w:spacing w:line="360" w:lineRule="auto"/>
              <w:rPr>
                <w:rFonts w:hint="eastAsia"/>
                <w:sz w:val="24"/>
                <w:lang w:val="en-US" w:eastAsia="zh-CN"/>
              </w:rPr>
            </w:pPr>
            <w:r>
              <w:rPr>
                <w:rFonts w:hint="eastAsia"/>
                <w:sz w:val="24"/>
              </w:rPr>
              <w:t>（2）CCRC信息安全风险评估、CCRC信息安全应急处理、CCRC信息系统安全运维、CCRC信息系统安全集成等服务资质原件扫描件，三级资质得1分，二级</w:t>
            </w:r>
            <w:r>
              <w:rPr>
                <w:rFonts w:hint="eastAsia"/>
                <w:sz w:val="24"/>
                <w:lang w:val="en-US" w:eastAsia="zh-CN"/>
              </w:rPr>
              <w:t>及</w:t>
            </w:r>
            <w:r>
              <w:rPr>
                <w:rFonts w:hint="eastAsia"/>
                <w:sz w:val="24"/>
              </w:rPr>
              <w:t>以上得2分，本项最高得</w:t>
            </w:r>
            <w:r>
              <w:rPr>
                <w:rFonts w:hint="eastAsia"/>
                <w:sz w:val="24"/>
                <w:lang w:val="en-US" w:eastAsia="zh-CN"/>
              </w:rPr>
              <w:t>6</w:t>
            </w:r>
            <w:r>
              <w:rPr>
                <w:rFonts w:hint="eastAsia"/>
                <w:sz w:val="24"/>
              </w:rPr>
              <w:t>分；</w:t>
            </w:r>
          </w:p>
        </w:tc>
      </w:tr>
      <w:tr w14:paraId="3D9C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continue"/>
            <w:noWrap/>
            <w:vAlign w:val="center"/>
          </w:tcPr>
          <w:p w14:paraId="148929A6">
            <w:pPr>
              <w:tabs>
                <w:tab w:val="left" w:pos="840"/>
                <w:tab w:val="left" w:pos="1050"/>
              </w:tabs>
              <w:adjustRightInd w:val="0"/>
              <w:snapToGrid w:val="0"/>
              <w:spacing w:line="460" w:lineRule="exact"/>
              <w:jc w:val="left"/>
            </w:pPr>
          </w:p>
        </w:tc>
        <w:tc>
          <w:tcPr>
            <w:tcW w:w="2419" w:type="dxa"/>
            <w:vMerge w:val="continue"/>
            <w:noWrap/>
            <w:vAlign w:val="center"/>
          </w:tcPr>
          <w:p w14:paraId="2E15E306">
            <w:pPr>
              <w:tabs>
                <w:tab w:val="left" w:pos="945"/>
              </w:tabs>
              <w:adjustRightInd w:val="0"/>
              <w:snapToGrid w:val="0"/>
              <w:spacing w:line="360" w:lineRule="auto"/>
              <w:rPr>
                <w:rFonts w:hint="eastAsia"/>
                <w:sz w:val="24"/>
                <w:lang w:val="en-US" w:eastAsia="zh-CN"/>
              </w:rPr>
            </w:pPr>
          </w:p>
        </w:tc>
        <w:tc>
          <w:tcPr>
            <w:tcW w:w="6664" w:type="dxa"/>
            <w:vAlign w:val="center"/>
          </w:tcPr>
          <w:p w14:paraId="280D5F00">
            <w:pPr>
              <w:tabs>
                <w:tab w:val="left" w:pos="945"/>
              </w:tabs>
              <w:adjustRightInd w:val="0"/>
              <w:snapToGrid w:val="0"/>
              <w:spacing w:line="360" w:lineRule="auto"/>
              <w:rPr>
                <w:rFonts w:hint="eastAsia"/>
                <w:sz w:val="24"/>
                <w:lang w:val="en-US" w:eastAsia="zh-CN"/>
              </w:rPr>
            </w:pPr>
            <w:r>
              <w:rPr>
                <w:rFonts w:hint="eastAsia"/>
                <w:sz w:val="24"/>
              </w:rPr>
              <w:t>（3）供应商具有信息技术服务标准（ITSS）运行维护符合性证书得1分，其他不得分。</w:t>
            </w:r>
          </w:p>
        </w:tc>
      </w:tr>
      <w:tr w14:paraId="1990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4C0403FB">
            <w:pPr>
              <w:tabs>
                <w:tab w:val="left" w:pos="945"/>
              </w:tabs>
              <w:adjustRightInd w:val="0"/>
              <w:snapToGrid w:val="0"/>
              <w:spacing w:line="360" w:lineRule="auto"/>
              <w:rPr>
                <w:rFonts w:hint="eastAsia" w:eastAsia="宋体"/>
                <w:sz w:val="24"/>
                <w:lang w:val="en-US" w:eastAsia="zh-CN"/>
              </w:rPr>
            </w:pPr>
            <w:r>
              <w:rPr>
                <w:rFonts w:hint="eastAsia"/>
                <w:sz w:val="24"/>
                <w:lang w:val="en-US" w:eastAsia="zh-CN"/>
              </w:rPr>
              <w:t>6</w:t>
            </w:r>
          </w:p>
        </w:tc>
        <w:tc>
          <w:tcPr>
            <w:tcW w:w="2419" w:type="dxa"/>
            <w:noWrap/>
            <w:vAlign w:val="center"/>
          </w:tcPr>
          <w:p w14:paraId="012EA744">
            <w:pPr>
              <w:tabs>
                <w:tab w:val="left" w:pos="945"/>
              </w:tabs>
              <w:adjustRightInd w:val="0"/>
              <w:snapToGrid w:val="0"/>
              <w:spacing w:line="360" w:lineRule="auto"/>
              <w:rPr>
                <w:rFonts w:hint="eastAsia"/>
                <w:sz w:val="24"/>
                <w:lang w:val="en-US" w:eastAsia="zh-CN"/>
              </w:rPr>
            </w:pPr>
            <w:r>
              <w:rPr>
                <w:rFonts w:hint="eastAsia"/>
                <w:sz w:val="24"/>
              </w:rPr>
              <w:t>资产及外网攻击面管控服务方案（</w:t>
            </w:r>
            <w:r>
              <w:rPr>
                <w:rFonts w:hint="eastAsia"/>
                <w:sz w:val="24"/>
                <w:lang w:val="en-US" w:eastAsia="zh-CN"/>
              </w:rPr>
              <w:t>10</w:t>
            </w:r>
            <w:r>
              <w:rPr>
                <w:rFonts w:hint="eastAsia"/>
                <w:sz w:val="24"/>
              </w:rPr>
              <w:t>分）</w:t>
            </w:r>
          </w:p>
        </w:tc>
        <w:tc>
          <w:tcPr>
            <w:tcW w:w="6664" w:type="dxa"/>
            <w:vAlign w:val="center"/>
          </w:tcPr>
          <w:p w14:paraId="48420998">
            <w:pPr>
              <w:tabs>
                <w:tab w:val="left" w:pos="945"/>
              </w:tabs>
              <w:adjustRightInd w:val="0"/>
              <w:snapToGrid w:val="0"/>
              <w:spacing w:line="360" w:lineRule="auto"/>
              <w:rPr>
                <w:rFonts w:hint="eastAsia"/>
                <w:sz w:val="24"/>
                <w:lang w:eastAsia="zh-CN"/>
              </w:rPr>
            </w:pPr>
            <w:r>
              <w:rPr>
                <w:rFonts w:hint="eastAsia"/>
                <w:sz w:val="24"/>
              </w:rPr>
              <w:t>资产梳理服务、攻击面检测服务、互联网暴露面收敛指导服务，要求方案明确月度1次固定服务频次、全品类校内资产探测范围、外网未知资产核验流程、端口及后台页面收敛整改指导流程，匹配1年服务周期，明确月度资产清单、检测报告、整改建议书三类交付成果</w:t>
            </w:r>
            <w:r>
              <w:rPr>
                <w:rFonts w:hint="eastAsia"/>
                <w:sz w:val="24"/>
                <w:lang w:eastAsia="zh-CN"/>
              </w:rPr>
              <w:t>。</w:t>
            </w:r>
          </w:p>
          <w:p w14:paraId="5FA39EAC">
            <w:pPr>
              <w:tabs>
                <w:tab w:val="left" w:pos="945"/>
              </w:tabs>
              <w:adjustRightInd w:val="0"/>
              <w:snapToGrid w:val="0"/>
              <w:spacing w:line="360" w:lineRule="auto"/>
              <w:rPr>
                <w:rFonts w:hint="eastAsia"/>
                <w:sz w:val="24"/>
                <w:lang w:eastAsia="zh-CN"/>
              </w:rPr>
            </w:pPr>
            <w:r>
              <w:rPr>
                <w:rFonts w:hint="eastAsia"/>
                <w:sz w:val="24"/>
              </w:rPr>
              <w:t>服务内容、频次、交付完全对标标的条款，内容完整落地性强得</w:t>
            </w:r>
            <w:r>
              <w:rPr>
                <w:rFonts w:hint="eastAsia"/>
                <w:sz w:val="24"/>
                <w:lang w:val="en-US" w:eastAsia="zh-CN"/>
              </w:rPr>
              <w:t>10</w:t>
            </w:r>
            <w:r>
              <w:rPr>
                <w:rFonts w:hint="eastAsia"/>
                <w:sz w:val="24"/>
              </w:rPr>
              <w:t>分</w:t>
            </w:r>
            <w:r>
              <w:rPr>
                <w:rFonts w:hint="eastAsia"/>
                <w:sz w:val="24"/>
                <w:lang w:eastAsia="zh-CN"/>
              </w:rPr>
              <w:t>；</w:t>
            </w:r>
          </w:p>
          <w:p w14:paraId="04491A63">
            <w:pPr>
              <w:tabs>
                <w:tab w:val="left" w:pos="945"/>
              </w:tabs>
              <w:adjustRightInd w:val="0"/>
              <w:snapToGrid w:val="0"/>
              <w:spacing w:line="360" w:lineRule="auto"/>
              <w:rPr>
                <w:rFonts w:hint="eastAsia"/>
                <w:sz w:val="24"/>
                <w:lang w:eastAsia="zh-CN"/>
              </w:rPr>
            </w:pPr>
            <w:r>
              <w:rPr>
                <w:rFonts w:hint="eastAsia"/>
                <w:sz w:val="24"/>
              </w:rPr>
              <w:t>服务内容、频次、交付</w:t>
            </w:r>
            <w:r>
              <w:rPr>
                <w:rFonts w:hint="eastAsia"/>
                <w:sz w:val="24"/>
                <w:lang w:val="en-US" w:eastAsia="zh-CN"/>
              </w:rPr>
              <w:t>基本</w:t>
            </w:r>
            <w:r>
              <w:rPr>
                <w:rFonts w:hint="eastAsia"/>
                <w:sz w:val="24"/>
              </w:rPr>
              <w:t>对标标的条款，内容完整落地性强得</w:t>
            </w:r>
            <w:r>
              <w:rPr>
                <w:rFonts w:hint="eastAsia"/>
                <w:sz w:val="24"/>
                <w:lang w:val="en-US" w:eastAsia="zh-CN"/>
              </w:rPr>
              <w:t>7</w:t>
            </w:r>
            <w:r>
              <w:rPr>
                <w:rFonts w:hint="eastAsia"/>
                <w:sz w:val="24"/>
              </w:rPr>
              <w:t>分</w:t>
            </w:r>
            <w:r>
              <w:rPr>
                <w:rFonts w:hint="eastAsia"/>
                <w:sz w:val="24"/>
                <w:lang w:eastAsia="zh-CN"/>
              </w:rPr>
              <w:t>；</w:t>
            </w:r>
          </w:p>
          <w:p w14:paraId="22C030AD">
            <w:pPr>
              <w:tabs>
                <w:tab w:val="left" w:pos="945"/>
              </w:tabs>
              <w:adjustRightInd w:val="0"/>
              <w:snapToGrid w:val="0"/>
              <w:spacing w:line="360" w:lineRule="auto"/>
              <w:rPr>
                <w:rFonts w:hint="eastAsia"/>
                <w:sz w:val="24"/>
                <w:lang w:eastAsia="zh-CN"/>
              </w:rPr>
            </w:pPr>
            <w:r>
              <w:rPr>
                <w:rFonts w:hint="eastAsia"/>
                <w:sz w:val="24"/>
              </w:rPr>
              <w:t>服务内容、频次、交付</w:t>
            </w:r>
            <w:r>
              <w:rPr>
                <w:rFonts w:hint="eastAsia"/>
                <w:sz w:val="24"/>
                <w:lang w:val="en-US" w:eastAsia="zh-CN"/>
              </w:rPr>
              <w:t>大部分</w:t>
            </w:r>
            <w:r>
              <w:rPr>
                <w:rFonts w:hint="eastAsia"/>
                <w:sz w:val="24"/>
              </w:rPr>
              <w:t>对标标的条款，内容完整落地性</w:t>
            </w:r>
            <w:r>
              <w:rPr>
                <w:rFonts w:hint="eastAsia"/>
                <w:sz w:val="24"/>
                <w:lang w:val="en-US" w:eastAsia="zh-CN"/>
              </w:rPr>
              <w:t>较</w:t>
            </w:r>
            <w:r>
              <w:rPr>
                <w:rFonts w:hint="eastAsia"/>
                <w:sz w:val="24"/>
              </w:rPr>
              <w:t>强得</w:t>
            </w:r>
            <w:r>
              <w:rPr>
                <w:rFonts w:hint="eastAsia"/>
                <w:sz w:val="24"/>
                <w:lang w:val="en-US" w:eastAsia="zh-CN"/>
              </w:rPr>
              <w:t>4</w:t>
            </w:r>
            <w:r>
              <w:rPr>
                <w:rFonts w:hint="eastAsia"/>
                <w:sz w:val="24"/>
              </w:rPr>
              <w:t>分</w:t>
            </w:r>
            <w:r>
              <w:rPr>
                <w:rFonts w:hint="eastAsia"/>
                <w:sz w:val="24"/>
                <w:lang w:eastAsia="zh-CN"/>
              </w:rPr>
              <w:t>；</w:t>
            </w:r>
          </w:p>
          <w:p w14:paraId="53DB1856">
            <w:pPr>
              <w:tabs>
                <w:tab w:val="left" w:pos="945"/>
              </w:tabs>
              <w:adjustRightInd w:val="0"/>
              <w:snapToGrid w:val="0"/>
              <w:spacing w:line="360" w:lineRule="auto"/>
              <w:rPr>
                <w:rFonts w:hint="eastAsia"/>
                <w:sz w:val="24"/>
                <w:lang w:val="en-US" w:eastAsia="zh-CN"/>
              </w:rPr>
            </w:pPr>
            <w:r>
              <w:rPr>
                <w:rFonts w:hint="eastAsia"/>
                <w:sz w:val="24"/>
                <w:lang w:val="en-US" w:eastAsia="zh-CN"/>
              </w:rPr>
              <w:t>提供不全或者不提供，不得分；</w:t>
            </w:r>
            <w:r>
              <w:rPr>
                <w:rFonts w:hint="eastAsia"/>
                <w:sz w:val="24"/>
                <w:lang w:eastAsia="zh-CN"/>
              </w:rPr>
              <w:t>。</w:t>
            </w:r>
          </w:p>
        </w:tc>
      </w:tr>
      <w:tr w14:paraId="215D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73A5B8D3">
            <w:pPr>
              <w:tabs>
                <w:tab w:val="left" w:pos="945"/>
              </w:tabs>
              <w:adjustRightInd w:val="0"/>
              <w:snapToGrid w:val="0"/>
              <w:spacing w:line="360" w:lineRule="auto"/>
              <w:rPr>
                <w:rFonts w:hint="default"/>
                <w:sz w:val="24"/>
                <w:lang w:val="en-US" w:eastAsia="zh-CN"/>
              </w:rPr>
            </w:pPr>
            <w:r>
              <w:rPr>
                <w:rFonts w:hint="eastAsia"/>
                <w:sz w:val="24"/>
                <w:lang w:val="en-US" w:eastAsia="zh-CN"/>
              </w:rPr>
              <w:t>7</w:t>
            </w:r>
          </w:p>
        </w:tc>
        <w:tc>
          <w:tcPr>
            <w:tcW w:w="2419" w:type="dxa"/>
            <w:noWrap/>
            <w:vAlign w:val="center"/>
          </w:tcPr>
          <w:p w14:paraId="15E6783C">
            <w:pPr>
              <w:tabs>
                <w:tab w:val="left" w:pos="945"/>
              </w:tabs>
              <w:adjustRightInd w:val="0"/>
              <w:snapToGrid w:val="0"/>
              <w:spacing w:line="360" w:lineRule="auto"/>
              <w:rPr>
                <w:rFonts w:hint="eastAsia"/>
                <w:sz w:val="24"/>
              </w:rPr>
            </w:pPr>
            <w:r>
              <w:rPr>
                <w:rFonts w:hint="eastAsia"/>
                <w:sz w:val="24"/>
              </w:rPr>
              <w:t>漏洞全生命周期闭环服务方案（</w:t>
            </w:r>
            <w:r>
              <w:rPr>
                <w:rFonts w:hint="eastAsia"/>
                <w:sz w:val="24"/>
                <w:lang w:val="en-US" w:eastAsia="zh-CN"/>
              </w:rPr>
              <w:t>10</w:t>
            </w:r>
            <w:r>
              <w:rPr>
                <w:rFonts w:hint="eastAsia"/>
                <w:sz w:val="24"/>
              </w:rPr>
              <w:t>分）</w:t>
            </w:r>
          </w:p>
        </w:tc>
        <w:tc>
          <w:tcPr>
            <w:tcW w:w="6664" w:type="dxa"/>
            <w:vAlign w:val="center"/>
          </w:tcPr>
          <w:p w14:paraId="14FC5353">
            <w:pPr>
              <w:tabs>
                <w:tab w:val="left" w:pos="945"/>
              </w:tabs>
              <w:adjustRightInd w:val="0"/>
              <w:snapToGrid w:val="0"/>
              <w:spacing w:line="360" w:lineRule="auto"/>
              <w:rPr>
                <w:rFonts w:hint="eastAsia"/>
                <w:sz w:val="24"/>
                <w:lang w:eastAsia="zh-CN"/>
              </w:rPr>
            </w:pPr>
            <w:r>
              <w:rPr>
                <w:rFonts w:hint="eastAsia"/>
                <w:sz w:val="24"/>
              </w:rPr>
              <w:t>漏洞扫描、漏洞修复复测、漏洞优先修复、渗透测试，严格对标季度漏扫频次、每季度10日前提交漏洞修复追踪表要求、攻防视角漏洞分级规则、业务不停机漏洞无效化处置方式、年度1次自主工具人工渗透测试</w:t>
            </w:r>
            <w:r>
              <w:rPr>
                <w:rFonts w:hint="eastAsia"/>
                <w:sz w:val="24"/>
                <w:lang w:eastAsia="zh-CN"/>
              </w:rPr>
              <w:t>。</w:t>
            </w:r>
          </w:p>
          <w:p w14:paraId="63AB687F">
            <w:pPr>
              <w:tabs>
                <w:tab w:val="left" w:pos="945"/>
              </w:tabs>
              <w:adjustRightInd w:val="0"/>
              <w:snapToGrid w:val="0"/>
              <w:spacing w:line="360" w:lineRule="auto"/>
              <w:rPr>
                <w:rFonts w:hint="eastAsia"/>
                <w:sz w:val="24"/>
                <w:lang w:eastAsia="zh-CN"/>
              </w:rPr>
            </w:pPr>
            <w:r>
              <w:rPr>
                <w:rFonts w:hint="eastAsia"/>
                <w:sz w:val="24"/>
              </w:rPr>
              <w:t>全覆盖标的服务、履约流程闭环完整、交付资料齐全得</w:t>
            </w:r>
            <w:r>
              <w:rPr>
                <w:rFonts w:hint="eastAsia"/>
                <w:sz w:val="24"/>
                <w:lang w:val="en-US" w:eastAsia="zh-CN"/>
              </w:rPr>
              <w:t>10</w:t>
            </w:r>
            <w:r>
              <w:rPr>
                <w:rFonts w:hint="eastAsia"/>
                <w:sz w:val="24"/>
              </w:rPr>
              <w:t>分</w:t>
            </w:r>
            <w:r>
              <w:rPr>
                <w:rFonts w:hint="eastAsia"/>
                <w:sz w:val="24"/>
                <w:lang w:eastAsia="zh-CN"/>
              </w:rPr>
              <w:t>；</w:t>
            </w:r>
          </w:p>
          <w:p w14:paraId="733C22A2">
            <w:pPr>
              <w:tabs>
                <w:tab w:val="left" w:pos="945"/>
              </w:tabs>
              <w:adjustRightInd w:val="0"/>
              <w:snapToGrid w:val="0"/>
              <w:spacing w:line="360" w:lineRule="auto"/>
              <w:rPr>
                <w:rFonts w:hint="eastAsia"/>
                <w:sz w:val="24"/>
                <w:lang w:eastAsia="zh-CN"/>
              </w:rPr>
            </w:pPr>
            <w:r>
              <w:rPr>
                <w:rFonts w:hint="eastAsia"/>
                <w:sz w:val="24"/>
                <w:lang w:val="en-US" w:eastAsia="zh-CN"/>
              </w:rPr>
              <w:t>基本</w:t>
            </w:r>
            <w:r>
              <w:rPr>
                <w:rFonts w:hint="eastAsia"/>
                <w:sz w:val="24"/>
              </w:rPr>
              <w:t>覆盖标的服务、履约流程</w:t>
            </w:r>
            <w:r>
              <w:rPr>
                <w:rFonts w:hint="eastAsia"/>
                <w:sz w:val="24"/>
                <w:lang w:val="en-US" w:eastAsia="zh-CN"/>
              </w:rPr>
              <w:t>基本</w:t>
            </w:r>
            <w:r>
              <w:rPr>
                <w:rFonts w:hint="eastAsia"/>
                <w:sz w:val="24"/>
              </w:rPr>
              <w:t>闭环完整、交付资料</w:t>
            </w:r>
            <w:r>
              <w:rPr>
                <w:rFonts w:hint="eastAsia"/>
                <w:sz w:val="24"/>
                <w:lang w:val="en-US" w:eastAsia="zh-CN"/>
              </w:rPr>
              <w:t>较</w:t>
            </w:r>
            <w:r>
              <w:rPr>
                <w:rFonts w:hint="eastAsia"/>
                <w:sz w:val="24"/>
              </w:rPr>
              <w:t>齐全得</w:t>
            </w:r>
            <w:r>
              <w:rPr>
                <w:rFonts w:hint="eastAsia"/>
                <w:sz w:val="24"/>
                <w:lang w:val="en-US" w:eastAsia="zh-CN"/>
              </w:rPr>
              <w:t>7</w:t>
            </w:r>
            <w:r>
              <w:rPr>
                <w:rFonts w:hint="eastAsia"/>
                <w:sz w:val="24"/>
              </w:rPr>
              <w:t>分</w:t>
            </w:r>
            <w:r>
              <w:rPr>
                <w:rFonts w:hint="eastAsia"/>
                <w:sz w:val="24"/>
                <w:lang w:eastAsia="zh-CN"/>
              </w:rPr>
              <w:t>；</w:t>
            </w:r>
          </w:p>
          <w:p w14:paraId="474EDA67">
            <w:pPr>
              <w:tabs>
                <w:tab w:val="left" w:pos="945"/>
              </w:tabs>
              <w:adjustRightInd w:val="0"/>
              <w:snapToGrid w:val="0"/>
              <w:spacing w:line="360" w:lineRule="auto"/>
              <w:rPr>
                <w:rFonts w:hint="eastAsia"/>
                <w:sz w:val="24"/>
                <w:lang w:eastAsia="zh-CN"/>
              </w:rPr>
            </w:pPr>
            <w:r>
              <w:rPr>
                <w:rFonts w:hint="eastAsia"/>
                <w:sz w:val="24"/>
              </w:rPr>
              <w:t>覆盖</w:t>
            </w:r>
            <w:r>
              <w:rPr>
                <w:rFonts w:hint="eastAsia"/>
                <w:sz w:val="24"/>
                <w:lang w:val="en-US" w:eastAsia="zh-CN"/>
              </w:rPr>
              <w:t>大部分</w:t>
            </w:r>
            <w:r>
              <w:rPr>
                <w:rFonts w:hint="eastAsia"/>
                <w:sz w:val="24"/>
              </w:rPr>
              <w:t>标的服务、履约流程</w:t>
            </w:r>
            <w:r>
              <w:rPr>
                <w:rFonts w:hint="eastAsia"/>
                <w:sz w:val="24"/>
                <w:lang w:val="en-US" w:eastAsia="zh-CN"/>
              </w:rPr>
              <w:t>较</w:t>
            </w:r>
            <w:r>
              <w:rPr>
                <w:rFonts w:hint="eastAsia"/>
                <w:sz w:val="24"/>
              </w:rPr>
              <w:t>完整、交付资料</w:t>
            </w:r>
            <w:r>
              <w:rPr>
                <w:rFonts w:hint="eastAsia"/>
                <w:sz w:val="24"/>
                <w:lang w:val="en-US" w:eastAsia="zh-CN"/>
              </w:rPr>
              <w:t>基本</w:t>
            </w:r>
            <w:r>
              <w:rPr>
                <w:rFonts w:hint="eastAsia"/>
                <w:sz w:val="24"/>
              </w:rPr>
              <w:t>齐全得</w:t>
            </w:r>
            <w:r>
              <w:rPr>
                <w:rFonts w:hint="eastAsia"/>
                <w:sz w:val="24"/>
                <w:lang w:val="en-US" w:eastAsia="zh-CN"/>
              </w:rPr>
              <w:t>4</w:t>
            </w:r>
            <w:r>
              <w:rPr>
                <w:rFonts w:hint="eastAsia"/>
                <w:sz w:val="24"/>
              </w:rPr>
              <w:t>分</w:t>
            </w:r>
            <w:r>
              <w:rPr>
                <w:rFonts w:hint="eastAsia"/>
                <w:sz w:val="24"/>
                <w:lang w:eastAsia="zh-CN"/>
              </w:rPr>
              <w:t>；</w:t>
            </w:r>
          </w:p>
          <w:p w14:paraId="1687A7B1">
            <w:pPr>
              <w:tabs>
                <w:tab w:val="left" w:pos="945"/>
              </w:tabs>
              <w:adjustRightInd w:val="0"/>
              <w:snapToGrid w:val="0"/>
              <w:spacing w:line="360" w:lineRule="auto"/>
              <w:rPr>
                <w:rFonts w:hint="default"/>
                <w:sz w:val="24"/>
                <w:lang w:val="en-US" w:eastAsia="zh-CN"/>
              </w:rPr>
            </w:pPr>
            <w:r>
              <w:rPr>
                <w:rFonts w:hint="eastAsia"/>
                <w:sz w:val="24"/>
                <w:lang w:val="en-US" w:eastAsia="zh-CN"/>
              </w:rPr>
              <w:t>提供不全或者不提供，不得分；</w:t>
            </w:r>
          </w:p>
        </w:tc>
      </w:tr>
      <w:tr w14:paraId="1D8F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52963C06">
            <w:pPr>
              <w:tabs>
                <w:tab w:val="left" w:pos="945"/>
              </w:tabs>
              <w:adjustRightInd w:val="0"/>
              <w:snapToGrid w:val="0"/>
              <w:spacing w:line="360" w:lineRule="auto"/>
              <w:rPr>
                <w:rFonts w:hint="default"/>
                <w:sz w:val="24"/>
                <w:lang w:val="en-US" w:eastAsia="zh-CN"/>
              </w:rPr>
            </w:pPr>
            <w:r>
              <w:rPr>
                <w:rFonts w:hint="eastAsia"/>
                <w:sz w:val="24"/>
                <w:lang w:val="en-US" w:eastAsia="zh-CN"/>
              </w:rPr>
              <w:t>8</w:t>
            </w:r>
          </w:p>
        </w:tc>
        <w:tc>
          <w:tcPr>
            <w:tcW w:w="2419" w:type="dxa"/>
            <w:noWrap/>
            <w:vAlign w:val="center"/>
          </w:tcPr>
          <w:p w14:paraId="67054A20">
            <w:pPr>
              <w:tabs>
                <w:tab w:val="left" w:pos="945"/>
              </w:tabs>
              <w:adjustRightInd w:val="0"/>
              <w:snapToGrid w:val="0"/>
              <w:spacing w:line="360" w:lineRule="auto"/>
              <w:rPr>
                <w:rFonts w:hint="eastAsia"/>
                <w:sz w:val="24"/>
              </w:rPr>
            </w:pPr>
            <w:r>
              <w:rPr>
                <w:rFonts w:hint="eastAsia"/>
                <w:sz w:val="24"/>
              </w:rPr>
              <w:t>全域7×24威胁监测运营方案（</w:t>
            </w:r>
            <w:r>
              <w:rPr>
                <w:rFonts w:hint="eastAsia"/>
                <w:sz w:val="24"/>
                <w:lang w:val="en-US" w:eastAsia="zh-CN"/>
              </w:rPr>
              <w:t>10</w:t>
            </w:r>
            <w:r>
              <w:rPr>
                <w:rFonts w:hint="eastAsia"/>
                <w:sz w:val="24"/>
              </w:rPr>
              <w:t>分）</w:t>
            </w:r>
          </w:p>
        </w:tc>
        <w:tc>
          <w:tcPr>
            <w:tcW w:w="6664" w:type="dxa"/>
            <w:vAlign w:val="center"/>
          </w:tcPr>
          <w:p w14:paraId="4E8A1252">
            <w:pPr>
              <w:tabs>
                <w:tab w:val="left" w:pos="945"/>
              </w:tabs>
              <w:adjustRightInd w:val="0"/>
              <w:snapToGrid w:val="0"/>
              <w:spacing w:line="360" w:lineRule="auto"/>
              <w:rPr>
                <w:rFonts w:hint="eastAsia"/>
                <w:sz w:val="24"/>
                <w:lang w:eastAsia="zh-CN"/>
              </w:rPr>
            </w:pPr>
            <w:r>
              <w:rPr>
                <w:rFonts w:hint="eastAsia"/>
                <w:sz w:val="24"/>
              </w:rPr>
              <w:t>7*24网站风险监测服务、流量威胁监测、蜜罐威胁诱捕、翻墙上网监测、AI+威胁情报服务，对标标的部署要求：探针旁路部署、蜜罐仿真部署</w:t>
            </w:r>
            <w:r>
              <w:rPr>
                <w:rFonts w:hint="eastAsia"/>
                <w:sz w:val="24"/>
                <w:lang w:eastAsia="zh-CN"/>
              </w:rPr>
              <w:t>，</w:t>
            </w:r>
            <w:r>
              <w:rPr>
                <w:rFonts w:hint="eastAsia"/>
                <w:sz w:val="24"/>
              </w:rPr>
              <w:t>满足7*24不间断值守、加密流量识别、翻墙溯源、AI告警降噪、全球情报联动全部标的能力</w:t>
            </w:r>
            <w:r>
              <w:rPr>
                <w:rFonts w:hint="eastAsia"/>
                <w:sz w:val="24"/>
                <w:lang w:eastAsia="zh-CN"/>
              </w:rPr>
              <w:t>。</w:t>
            </w:r>
          </w:p>
          <w:p w14:paraId="730A1B50">
            <w:pPr>
              <w:tabs>
                <w:tab w:val="left" w:pos="945"/>
              </w:tabs>
              <w:adjustRightInd w:val="0"/>
              <w:snapToGrid w:val="0"/>
              <w:spacing w:line="360" w:lineRule="auto"/>
              <w:rPr>
                <w:rFonts w:hint="eastAsia"/>
                <w:sz w:val="24"/>
                <w:lang w:eastAsia="zh-CN"/>
              </w:rPr>
            </w:pPr>
            <w:r>
              <w:rPr>
                <w:rFonts w:hint="eastAsia"/>
                <w:sz w:val="24"/>
              </w:rPr>
              <w:t>全覆盖监测服务、值守机制完整得</w:t>
            </w:r>
            <w:r>
              <w:rPr>
                <w:rFonts w:hint="eastAsia"/>
                <w:sz w:val="24"/>
                <w:lang w:val="en-US" w:eastAsia="zh-CN"/>
              </w:rPr>
              <w:t>10</w:t>
            </w:r>
            <w:r>
              <w:rPr>
                <w:rFonts w:hint="eastAsia"/>
                <w:sz w:val="24"/>
              </w:rPr>
              <w:t>分</w:t>
            </w:r>
            <w:r>
              <w:rPr>
                <w:rFonts w:hint="eastAsia"/>
                <w:sz w:val="24"/>
                <w:lang w:eastAsia="zh-CN"/>
              </w:rPr>
              <w:t>；</w:t>
            </w:r>
          </w:p>
          <w:p w14:paraId="23BE8996">
            <w:pPr>
              <w:tabs>
                <w:tab w:val="left" w:pos="945"/>
              </w:tabs>
              <w:adjustRightInd w:val="0"/>
              <w:snapToGrid w:val="0"/>
              <w:spacing w:line="360" w:lineRule="auto"/>
              <w:rPr>
                <w:rFonts w:hint="eastAsia"/>
                <w:sz w:val="24"/>
                <w:lang w:eastAsia="zh-CN"/>
              </w:rPr>
            </w:pPr>
            <w:r>
              <w:rPr>
                <w:rFonts w:hint="eastAsia"/>
                <w:sz w:val="24"/>
                <w:lang w:val="en-US" w:eastAsia="zh-CN"/>
              </w:rPr>
              <w:t>基本</w:t>
            </w:r>
            <w:r>
              <w:rPr>
                <w:rFonts w:hint="eastAsia"/>
                <w:sz w:val="24"/>
              </w:rPr>
              <w:t>覆盖监测服务、值守机制</w:t>
            </w:r>
            <w:r>
              <w:rPr>
                <w:rFonts w:hint="eastAsia"/>
                <w:sz w:val="24"/>
                <w:lang w:val="en-US" w:eastAsia="zh-CN"/>
              </w:rPr>
              <w:t>较</w:t>
            </w:r>
            <w:r>
              <w:rPr>
                <w:rFonts w:hint="eastAsia"/>
                <w:sz w:val="24"/>
              </w:rPr>
              <w:t>完整得</w:t>
            </w:r>
            <w:r>
              <w:rPr>
                <w:rFonts w:hint="eastAsia"/>
                <w:sz w:val="24"/>
                <w:lang w:val="en-US" w:eastAsia="zh-CN"/>
              </w:rPr>
              <w:t>7</w:t>
            </w:r>
            <w:r>
              <w:rPr>
                <w:rFonts w:hint="eastAsia"/>
                <w:sz w:val="24"/>
              </w:rPr>
              <w:t>分</w:t>
            </w:r>
            <w:r>
              <w:rPr>
                <w:rFonts w:hint="eastAsia"/>
                <w:sz w:val="24"/>
                <w:lang w:eastAsia="zh-CN"/>
              </w:rPr>
              <w:t>；</w:t>
            </w:r>
          </w:p>
          <w:p w14:paraId="6454D882">
            <w:pPr>
              <w:tabs>
                <w:tab w:val="left" w:pos="945"/>
              </w:tabs>
              <w:adjustRightInd w:val="0"/>
              <w:snapToGrid w:val="0"/>
              <w:spacing w:line="360" w:lineRule="auto"/>
              <w:rPr>
                <w:rFonts w:hint="eastAsia"/>
                <w:sz w:val="24"/>
                <w:lang w:eastAsia="zh-CN"/>
              </w:rPr>
            </w:pPr>
            <w:r>
              <w:rPr>
                <w:rFonts w:hint="eastAsia"/>
                <w:sz w:val="24"/>
              </w:rPr>
              <w:t>覆盖</w:t>
            </w:r>
            <w:r>
              <w:rPr>
                <w:rFonts w:hint="eastAsia"/>
                <w:sz w:val="24"/>
                <w:lang w:val="en-US" w:eastAsia="zh-CN"/>
              </w:rPr>
              <w:t>大部分</w:t>
            </w:r>
            <w:r>
              <w:rPr>
                <w:rFonts w:hint="eastAsia"/>
                <w:sz w:val="24"/>
              </w:rPr>
              <w:t>监测服务、值守机制</w:t>
            </w:r>
            <w:r>
              <w:rPr>
                <w:rFonts w:hint="eastAsia"/>
                <w:sz w:val="24"/>
                <w:lang w:val="en-US" w:eastAsia="zh-CN"/>
              </w:rPr>
              <w:t>基本</w:t>
            </w:r>
            <w:r>
              <w:rPr>
                <w:rFonts w:hint="eastAsia"/>
                <w:sz w:val="24"/>
              </w:rPr>
              <w:t>完整得</w:t>
            </w:r>
            <w:r>
              <w:rPr>
                <w:rFonts w:hint="eastAsia"/>
                <w:sz w:val="24"/>
                <w:lang w:val="en-US" w:eastAsia="zh-CN"/>
              </w:rPr>
              <w:t>4</w:t>
            </w:r>
            <w:r>
              <w:rPr>
                <w:rFonts w:hint="eastAsia"/>
                <w:sz w:val="24"/>
              </w:rPr>
              <w:t>分</w:t>
            </w:r>
            <w:r>
              <w:rPr>
                <w:rFonts w:hint="eastAsia"/>
                <w:sz w:val="24"/>
                <w:lang w:eastAsia="zh-CN"/>
              </w:rPr>
              <w:t>；</w:t>
            </w:r>
          </w:p>
          <w:p w14:paraId="0143E748">
            <w:pPr>
              <w:tabs>
                <w:tab w:val="left" w:pos="945"/>
              </w:tabs>
              <w:adjustRightInd w:val="0"/>
              <w:snapToGrid w:val="0"/>
              <w:spacing w:line="360" w:lineRule="auto"/>
              <w:rPr>
                <w:rFonts w:hint="eastAsia"/>
                <w:sz w:val="24"/>
                <w:lang w:val="en-US" w:eastAsia="zh-CN"/>
              </w:rPr>
            </w:pPr>
            <w:r>
              <w:rPr>
                <w:rFonts w:hint="eastAsia"/>
                <w:sz w:val="24"/>
                <w:lang w:val="en-US" w:eastAsia="zh-CN"/>
              </w:rPr>
              <w:t>提供不全或者不提供，不得分；</w:t>
            </w:r>
          </w:p>
        </w:tc>
      </w:tr>
      <w:tr w14:paraId="069B7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2256306F">
            <w:pPr>
              <w:tabs>
                <w:tab w:val="left" w:pos="945"/>
              </w:tabs>
              <w:adjustRightInd w:val="0"/>
              <w:snapToGrid w:val="0"/>
              <w:spacing w:line="360" w:lineRule="auto"/>
              <w:rPr>
                <w:rFonts w:hint="default"/>
                <w:sz w:val="24"/>
                <w:lang w:val="en-US" w:eastAsia="zh-CN"/>
              </w:rPr>
            </w:pPr>
            <w:r>
              <w:rPr>
                <w:rFonts w:hint="eastAsia"/>
                <w:sz w:val="24"/>
                <w:lang w:val="en-US" w:eastAsia="zh-CN"/>
              </w:rPr>
              <w:t>9</w:t>
            </w:r>
          </w:p>
        </w:tc>
        <w:tc>
          <w:tcPr>
            <w:tcW w:w="2419" w:type="dxa"/>
            <w:noWrap/>
            <w:vAlign w:val="center"/>
          </w:tcPr>
          <w:p w14:paraId="2B1290E3">
            <w:pPr>
              <w:tabs>
                <w:tab w:val="left" w:pos="945"/>
              </w:tabs>
              <w:adjustRightInd w:val="0"/>
              <w:snapToGrid w:val="0"/>
              <w:spacing w:line="360" w:lineRule="auto"/>
              <w:rPr>
                <w:rFonts w:hint="eastAsia"/>
                <w:sz w:val="24"/>
              </w:rPr>
            </w:pPr>
            <w:r>
              <w:rPr>
                <w:rFonts w:hint="eastAsia"/>
                <w:sz w:val="24"/>
              </w:rPr>
              <w:t>平台部署+专项应急安全服务方案（</w:t>
            </w:r>
            <w:r>
              <w:rPr>
                <w:rFonts w:hint="eastAsia"/>
                <w:sz w:val="24"/>
                <w:lang w:val="en-US" w:eastAsia="zh-CN"/>
              </w:rPr>
              <w:t>10</w:t>
            </w:r>
            <w:r>
              <w:rPr>
                <w:rFonts w:hint="eastAsia"/>
                <w:sz w:val="24"/>
              </w:rPr>
              <w:t>分）</w:t>
            </w:r>
          </w:p>
        </w:tc>
        <w:tc>
          <w:tcPr>
            <w:tcW w:w="6664" w:type="dxa"/>
            <w:vAlign w:val="center"/>
          </w:tcPr>
          <w:p w14:paraId="7AC8D4BF">
            <w:pPr>
              <w:tabs>
                <w:tab w:val="left" w:pos="945"/>
              </w:tabs>
              <w:adjustRightInd w:val="0"/>
              <w:snapToGrid w:val="0"/>
              <w:spacing w:line="360" w:lineRule="auto"/>
              <w:rPr>
                <w:rFonts w:hint="eastAsia"/>
                <w:sz w:val="24"/>
                <w:lang w:eastAsia="zh-CN"/>
              </w:rPr>
            </w:pPr>
            <w:r>
              <w:rPr>
                <w:rFonts w:hint="eastAsia"/>
                <w:sz w:val="24"/>
              </w:rPr>
              <w:t>一体化安服工具部署、二级等保测评、重保安全保障服务，严格对标标的时限：合同签订15日内平台本地私有化部署、1套系统二级等保全流程测评、重保按需到场应急处置</w:t>
            </w:r>
            <w:r>
              <w:rPr>
                <w:rFonts w:hint="eastAsia"/>
                <w:sz w:val="24"/>
                <w:lang w:eastAsia="zh-CN"/>
              </w:rPr>
              <w:t>。</w:t>
            </w:r>
          </w:p>
          <w:p w14:paraId="5FB0AB13">
            <w:pPr>
              <w:tabs>
                <w:tab w:val="left" w:pos="945"/>
              </w:tabs>
              <w:adjustRightInd w:val="0"/>
              <w:snapToGrid w:val="0"/>
              <w:spacing w:line="360" w:lineRule="auto"/>
              <w:rPr>
                <w:rFonts w:hint="eastAsia"/>
                <w:sz w:val="24"/>
                <w:lang w:eastAsia="zh-CN"/>
              </w:rPr>
            </w:pPr>
            <w:r>
              <w:rPr>
                <w:rFonts w:hint="eastAsia"/>
                <w:sz w:val="24"/>
              </w:rPr>
              <w:t>完全贴合标的服务时限、服务范围、履约标准得</w:t>
            </w:r>
            <w:r>
              <w:rPr>
                <w:rFonts w:hint="eastAsia"/>
                <w:sz w:val="24"/>
                <w:lang w:val="en-US" w:eastAsia="zh-CN"/>
              </w:rPr>
              <w:t>10</w:t>
            </w:r>
            <w:r>
              <w:rPr>
                <w:rFonts w:hint="eastAsia"/>
                <w:sz w:val="24"/>
              </w:rPr>
              <w:t>分</w:t>
            </w:r>
            <w:r>
              <w:rPr>
                <w:rFonts w:hint="eastAsia"/>
                <w:sz w:val="24"/>
                <w:lang w:eastAsia="zh-CN"/>
              </w:rPr>
              <w:t>；</w:t>
            </w:r>
          </w:p>
          <w:p w14:paraId="7B573487">
            <w:pPr>
              <w:tabs>
                <w:tab w:val="left" w:pos="945"/>
              </w:tabs>
              <w:adjustRightInd w:val="0"/>
              <w:snapToGrid w:val="0"/>
              <w:spacing w:line="360" w:lineRule="auto"/>
              <w:rPr>
                <w:rFonts w:hint="eastAsia"/>
                <w:sz w:val="24"/>
                <w:lang w:eastAsia="zh-CN"/>
              </w:rPr>
            </w:pPr>
            <w:r>
              <w:rPr>
                <w:rFonts w:hint="eastAsia"/>
                <w:sz w:val="24"/>
                <w:lang w:val="en-US" w:eastAsia="zh-CN"/>
              </w:rPr>
              <w:t>基本</w:t>
            </w:r>
            <w:r>
              <w:rPr>
                <w:rFonts w:hint="eastAsia"/>
                <w:sz w:val="24"/>
              </w:rPr>
              <w:t>贴合标的服务时限、服务范围、履约标准得</w:t>
            </w:r>
            <w:r>
              <w:rPr>
                <w:rFonts w:hint="eastAsia"/>
                <w:sz w:val="24"/>
                <w:lang w:val="en-US" w:eastAsia="zh-CN"/>
              </w:rPr>
              <w:t>7</w:t>
            </w:r>
            <w:r>
              <w:rPr>
                <w:rFonts w:hint="eastAsia"/>
                <w:sz w:val="24"/>
              </w:rPr>
              <w:t>分</w:t>
            </w:r>
            <w:r>
              <w:rPr>
                <w:rFonts w:hint="eastAsia"/>
                <w:sz w:val="24"/>
                <w:lang w:eastAsia="zh-CN"/>
              </w:rPr>
              <w:t>；</w:t>
            </w:r>
          </w:p>
          <w:p w14:paraId="3604F0ED">
            <w:pPr>
              <w:tabs>
                <w:tab w:val="left" w:pos="945"/>
              </w:tabs>
              <w:adjustRightInd w:val="0"/>
              <w:snapToGrid w:val="0"/>
              <w:spacing w:line="360" w:lineRule="auto"/>
              <w:rPr>
                <w:rFonts w:hint="eastAsia"/>
                <w:sz w:val="24"/>
                <w:lang w:eastAsia="zh-CN"/>
              </w:rPr>
            </w:pPr>
            <w:r>
              <w:rPr>
                <w:rFonts w:hint="eastAsia"/>
                <w:sz w:val="24"/>
              </w:rPr>
              <w:t>贴合</w:t>
            </w:r>
            <w:r>
              <w:rPr>
                <w:rFonts w:hint="eastAsia"/>
                <w:sz w:val="24"/>
                <w:lang w:val="en-US" w:eastAsia="zh-CN"/>
              </w:rPr>
              <w:t>大部分</w:t>
            </w:r>
            <w:r>
              <w:rPr>
                <w:rFonts w:hint="eastAsia"/>
                <w:sz w:val="24"/>
              </w:rPr>
              <w:t>标的服务时限、服务范围、履约标准得</w:t>
            </w:r>
            <w:r>
              <w:rPr>
                <w:rFonts w:hint="eastAsia"/>
                <w:sz w:val="24"/>
                <w:lang w:val="en-US" w:eastAsia="zh-CN"/>
              </w:rPr>
              <w:t>4</w:t>
            </w:r>
            <w:r>
              <w:rPr>
                <w:rFonts w:hint="eastAsia"/>
                <w:sz w:val="24"/>
              </w:rPr>
              <w:t>分</w:t>
            </w:r>
            <w:r>
              <w:rPr>
                <w:rFonts w:hint="eastAsia"/>
                <w:sz w:val="24"/>
                <w:lang w:eastAsia="zh-CN"/>
              </w:rPr>
              <w:t>；</w:t>
            </w:r>
          </w:p>
          <w:p w14:paraId="300FFF00">
            <w:pPr>
              <w:tabs>
                <w:tab w:val="left" w:pos="945"/>
              </w:tabs>
              <w:adjustRightInd w:val="0"/>
              <w:snapToGrid w:val="0"/>
              <w:spacing w:line="360" w:lineRule="auto"/>
              <w:rPr>
                <w:rFonts w:hint="eastAsia"/>
                <w:sz w:val="24"/>
                <w:lang w:val="en-US" w:eastAsia="zh-CN"/>
              </w:rPr>
            </w:pPr>
            <w:r>
              <w:rPr>
                <w:rFonts w:hint="eastAsia"/>
                <w:sz w:val="24"/>
                <w:lang w:val="en-US" w:eastAsia="zh-CN"/>
              </w:rPr>
              <w:t>提供不全或者不提供，不得分；</w:t>
            </w:r>
          </w:p>
        </w:tc>
      </w:tr>
      <w:tr w14:paraId="3BFE8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2AA940F8">
            <w:pPr>
              <w:tabs>
                <w:tab w:val="left" w:pos="945"/>
              </w:tabs>
              <w:adjustRightInd w:val="0"/>
              <w:snapToGrid w:val="0"/>
              <w:spacing w:line="360" w:lineRule="auto"/>
              <w:rPr>
                <w:rFonts w:hint="default"/>
                <w:sz w:val="24"/>
                <w:lang w:val="en-US" w:eastAsia="zh-CN"/>
              </w:rPr>
            </w:pPr>
            <w:r>
              <w:rPr>
                <w:rFonts w:hint="eastAsia"/>
                <w:sz w:val="24"/>
                <w:lang w:val="en-US" w:eastAsia="zh-CN"/>
              </w:rPr>
              <w:t>10</w:t>
            </w:r>
          </w:p>
        </w:tc>
        <w:tc>
          <w:tcPr>
            <w:tcW w:w="2419" w:type="dxa"/>
            <w:noWrap/>
            <w:vAlign w:val="center"/>
          </w:tcPr>
          <w:p w14:paraId="7D104C25">
            <w:pPr>
              <w:tabs>
                <w:tab w:val="left" w:pos="945"/>
              </w:tabs>
              <w:adjustRightInd w:val="0"/>
              <w:snapToGrid w:val="0"/>
              <w:spacing w:line="360" w:lineRule="auto"/>
              <w:rPr>
                <w:rFonts w:hint="eastAsia"/>
                <w:sz w:val="24"/>
              </w:rPr>
            </w:pPr>
            <w:r>
              <w:rPr>
                <w:rFonts w:hint="eastAsia"/>
                <w:sz w:val="24"/>
              </w:rPr>
              <w:t>服务承诺及售后服务措施（</w:t>
            </w:r>
            <w:r>
              <w:rPr>
                <w:rFonts w:hint="eastAsia"/>
                <w:sz w:val="24"/>
                <w:lang w:val="en-US" w:eastAsia="zh-CN"/>
              </w:rPr>
              <w:t>10</w:t>
            </w:r>
            <w:r>
              <w:rPr>
                <w:rFonts w:hint="eastAsia"/>
                <w:sz w:val="24"/>
              </w:rPr>
              <w:t>分）</w:t>
            </w:r>
          </w:p>
        </w:tc>
        <w:tc>
          <w:tcPr>
            <w:tcW w:w="6664" w:type="dxa"/>
            <w:vAlign w:val="center"/>
          </w:tcPr>
          <w:p w14:paraId="45D480BD">
            <w:pPr>
              <w:tabs>
                <w:tab w:val="left" w:pos="945"/>
              </w:tabs>
              <w:adjustRightInd w:val="0"/>
              <w:snapToGrid w:val="0"/>
              <w:spacing w:line="360" w:lineRule="auto"/>
              <w:rPr>
                <w:rFonts w:hint="eastAsia"/>
                <w:sz w:val="24"/>
                <w:lang w:val="en-US" w:eastAsia="zh-CN"/>
              </w:rPr>
            </w:pPr>
            <w:r>
              <w:rPr>
                <w:rFonts w:hint="eastAsia"/>
                <w:sz w:val="24"/>
                <w:lang w:val="en-US" w:eastAsia="zh-CN"/>
              </w:rPr>
              <w:t>提供完善的书面售后服务方案。</w:t>
            </w:r>
          </w:p>
          <w:p w14:paraId="573CB46F">
            <w:pPr>
              <w:tabs>
                <w:tab w:val="left" w:pos="945"/>
              </w:tabs>
              <w:adjustRightInd w:val="0"/>
              <w:snapToGrid w:val="0"/>
              <w:spacing w:line="360" w:lineRule="auto"/>
              <w:rPr>
                <w:rFonts w:hint="eastAsia"/>
                <w:sz w:val="24"/>
                <w:lang w:val="en-US" w:eastAsia="zh-CN"/>
              </w:rPr>
            </w:pPr>
            <w:r>
              <w:rPr>
                <w:rFonts w:hint="eastAsia"/>
                <w:sz w:val="24"/>
                <w:lang w:val="en-US" w:eastAsia="zh-CN"/>
              </w:rPr>
              <w:t>方案措施非常贴合本项目，可行性强，得10分；</w:t>
            </w:r>
          </w:p>
          <w:p w14:paraId="2ADF08B3">
            <w:pPr>
              <w:tabs>
                <w:tab w:val="left" w:pos="945"/>
              </w:tabs>
              <w:adjustRightInd w:val="0"/>
              <w:snapToGrid w:val="0"/>
              <w:spacing w:line="360" w:lineRule="auto"/>
              <w:rPr>
                <w:rFonts w:hint="eastAsia"/>
                <w:sz w:val="24"/>
                <w:lang w:val="en-US" w:eastAsia="zh-CN"/>
              </w:rPr>
            </w:pPr>
            <w:r>
              <w:rPr>
                <w:rFonts w:hint="eastAsia"/>
                <w:sz w:val="24"/>
                <w:lang w:val="en-US" w:eastAsia="zh-CN"/>
              </w:rPr>
              <w:t>方案措施较贴合本项目，可行性较强，得7分；</w:t>
            </w:r>
          </w:p>
          <w:p w14:paraId="21F3CC2E">
            <w:pPr>
              <w:tabs>
                <w:tab w:val="left" w:pos="945"/>
              </w:tabs>
              <w:adjustRightInd w:val="0"/>
              <w:snapToGrid w:val="0"/>
              <w:spacing w:line="360" w:lineRule="auto"/>
              <w:rPr>
                <w:rFonts w:hint="eastAsia"/>
                <w:sz w:val="24"/>
                <w:lang w:val="en-US" w:eastAsia="zh-CN"/>
              </w:rPr>
            </w:pPr>
            <w:r>
              <w:rPr>
                <w:rFonts w:hint="eastAsia"/>
                <w:sz w:val="24"/>
                <w:lang w:val="en-US" w:eastAsia="zh-CN"/>
              </w:rPr>
              <w:t>方案措施与本项目贴合度一般，可行性一般，得4分；</w:t>
            </w:r>
          </w:p>
          <w:p w14:paraId="638C3C5E">
            <w:pPr>
              <w:tabs>
                <w:tab w:val="left" w:pos="945"/>
              </w:tabs>
              <w:adjustRightInd w:val="0"/>
              <w:snapToGrid w:val="0"/>
              <w:spacing w:line="360" w:lineRule="auto"/>
              <w:rPr>
                <w:rFonts w:hint="default"/>
                <w:sz w:val="24"/>
                <w:lang w:val="en-US" w:eastAsia="zh-CN"/>
              </w:rPr>
            </w:pPr>
            <w:r>
              <w:rPr>
                <w:rFonts w:hint="eastAsia"/>
                <w:sz w:val="24"/>
                <w:lang w:val="en-US" w:eastAsia="zh-CN"/>
              </w:rPr>
              <w:t>提供不全或者不提供，不得分；</w:t>
            </w: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hint="eastAsia"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07A66834">
      <w:pPr>
        <w:pStyle w:val="25"/>
        <w:rPr>
          <w:rFonts w:hint="eastAsia" w:ascii="宋体" w:hAnsi="宋体"/>
          <w:color w:val="000000"/>
          <w:kern w:val="0"/>
          <w:sz w:val="28"/>
          <w:szCs w:val="28"/>
        </w:rPr>
      </w:pPr>
      <w:r>
        <w:rPr>
          <w:rFonts w:hint="eastAsia" w:ascii="宋体" w:hAnsi="宋体"/>
          <w:color w:val="000000"/>
          <w:kern w:val="0"/>
          <w:sz w:val="28"/>
          <w:szCs w:val="28"/>
        </w:rPr>
        <w:t>2026年网络安全检测专项服务及网络安全等级保护测评</w:t>
      </w:r>
    </w:p>
    <w:tbl>
      <w:tblPr>
        <w:tblStyle w:val="21"/>
        <w:tblW w:w="7931"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784"/>
        <w:gridCol w:w="998"/>
        <w:gridCol w:w="4582"/>
      </w:tblGrid>
      <w:tr w14:paraId="5266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437126F6">
            <w:pPr>
              <w:pStyle w:val="51"/>
              <w:rPr>
                <w:rFonts w:hint="eastAsia"/>
                <w:kern w:val="0"/>
              </w:rPr>
            </w:pPr>
            <w:r>
              <w:rPr>
                <w:kern w:val="0"/>
              </w:rPr>
              <w:t>序号</w:t>
            </w:r>
          </w:p>
        </w:tc>
        <w:tc>
          <w:tcPr>
            <w:tcW w:w="1784" w:type="dxa"/>
          </w:tcPr>
          <w:p w14:paraId="66F0728C">
            <w:pPr>
              <w:pStyle w:val="51"/>
              <w:rPr>
                <w:rFonts w:hint="eastAsia"/>
                <w:kern w:val="0"/>
              </w:rPr>
            </w:pPr>
            <w:r>
              <w:rPr>
                <w:kern w:val="0"/>
              </w:rPr>
              <w:t>服务名称</w:t>
            </w:r>
          </w:p>
        </w:tc>
        <w:tc>
          <w:tcPr>
            <w:tcW w:w="998" w:type="dxa"/>
          </w:tcPr>
          <w:p w14:paraId="31675421">
            <w:pPr>
              <w:pStyle w:val="51"/>
              <w:rPr>
                <w:rFonts w:hint="eastAsia"/>
                <w:kern w:val="0"/>
              </w:rPr>
            </w:pPr>
            <w:r>
              <w:rPr>
                <w:kern w:val="0"/>
              </w:rPr>
              <w:t>服务期限</w:t>
            </w:r>
          </w:p>
        </w:tc>
        <w:tc>
          <w:tcPr>
            <w:tcW w:w="4582" w:type="dxa"/>
          </w:tcPr>
          <w:p w14:paraId="641345B6">
            <w:pPr>
              <w:pStyle w:val="51"/>
              <w:rPr>
                <w:rFonts w:hint="eastAsia"/>
                <w:kern w:val="0"/>
              </w:rPr>
            </w:pPr>
            <w:r>
              <w:rPr>
                <w:kern w:val="0"/>
              </w:rPr>
              <w:t>服务说明</w:t>
            </w:r>
          </w:p>
        </w:tc>
      </w:tr>
      <w:tr w14:paraId="23C4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6F7E717">
            <w:pPr>
              <w:pStyle w:val="51"/>
              <w:numPr>
                <w:ilvl w:val="0"/>
                <w:numId w:val="1"/>
              </w:numPr>
              <w:ind w:left="425" w:leftChars="0" w:hanging="425" w:firstLineChars="0"/>
              <w:rPr>
                <w:rFonts w:hint="eastAsia"/>
                <w:kern w:val="0"/>
              </w:rPr>
            </w:pPr>
          </w:p>
        </w:tc>
        <w:tc>
          <w:tcPr>
            <w:tcW w:w="1784" w:type="dxa"/>
          </w:tcPr>
          <w:p w14:paraId="5F691F5E">
            <w:pPr>
              <w:pStyle w:val="51"/>
              <w:rPr>
                <w:rFonts w:hint="eastAsia"/>
                <w:kern w:val="0"/>
              </w:rPr>
            </w:pPr>
            <w:r>
              <w:rPr>
                <w:kern w:val="0"/>
              </w:rPr>
              <w:t>资产梳理服务</w:t>
            </w:r>
          </w:p>
        </w:tc>
        <w:tc>
          <w:tcPr>
            <w:tcW w:w="998" w:type="dxa"/>
          </w:tcPr>
          <w:p w14:paraId="5EE533F6">
            <w:pPr>
              <w:pStyle w:val="51"/>
              <w:rPr>
                <w:rFonts w:hint="eastAsia"/>
                <w:kern w:val="0"/>
              </w:rPr>
            </w:pPr>
            <w:r>
              <w:rPr>
                <w:kern w:val="0"/>
              </w:rPr>
              <w:t>1年</w:t>
            </w:r>
          </w:p>
        </w:tc>
        <w:tc>
          <w:tcPr>
            <w:tcW w:w="4582" w:type="dxa"/>
          </w:tcPr>
          <w:p w14:paraId="7777B534">
            <w:pPr>
              <w:pStyle w:val="51"/>
              <w:rPr>
                <w:kern w:val="0"/>
              </w:rPr>
            </w:pPr>
            <w:r>
              <w:rPr>
                <w:kern w:val="0"/>
              </w:rPr>
              <w:t>探测单位主机、网站资产，包括探测主机操作系统、开放端口、应用服务、协议版本等，探测网站子域名、url、web框架、备案号、微信小程序、微信公众号、APP应用程序等，形成资产清单，并定时探测更新</w:t>
            </w:r>
          </w:p>
          <w:p w14:paraId="1A0743E7">
            <w:pPr>
              <w:pStyle w:val="51"/>
              <w:rPr>
                <w:rFonts w:hint="eastAsia"/>
                <w:kern w:val="0"/>
              </w:rPr>
            </w:pPr>
            <w:r>
              <w:rPr>
                <w:kern w:val="0"/>
              </w:rPr>
              <w:t>服务频率1次/月</w:t>
            </w:r>
          </w:p>
        </w:tc>
      </w:tr>
      <w:tr w14:paraId="30C53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4DE3F52D">
            <w:pPr>
              <w:pStyle w:val="51"/>
              <w:numPr>
                <w:ilvl w:val="0"/>
                <w:numId w:val="1"/>
              </w:numPr>
              <w:ind w:left="425" w:leftChars="0" w:hanging="425" w:firstLineChars="0"/>
              <w:rPr>
                <w:rFonts w:hint="eastAsia"/>
                <w:kern w:val="0"/>
              </w:rPr>
            </w:pPr>
          </w:p>
        </w:tc>
        <w:tc>
          <w:tcPr>
            <w:tcW w:w="1784" w:type="dxa"/>
          </w:tcPr>
          <w:p w14:paraId="3D41AA0C">
            <w:pPr>
              <w:pStyle w:val="51"/>
              <w:rPr>
                <w:rFonts w:hint="eastAsia"/>
                <w:kern w:val="0"/>
              </w:rPr>
            </w:pPr>
            <w:r>
              <w:rPr>
                <w:kern w:val="0"/>
              </w:rPr>
              <w:t>攻击面检测服务</w:t>
            </w:r>
          </w:p>
        </w:tc>
        <w:tc>
          <w:tcPr>
            <w:tcW w:w="998" w:type="dxa"/>
          </w:tcPr>
          <w:p w14:paraId="1B255B03">
            <w:pPr>
              <w:pStyle w:val="51"/>
              <w:rPr>
                <w:rFonts w:hint="eastAsia"/>
                <w:kern w:val="0"/>
              </w:rPr>
            </w:pPr>
            <w:r>
              <w:rPr>
                <w:kern w:val="0"/>
              </w:rPr>
              <w:t>1年</w:t>
            </w:r>
          </w:p>
        </w:tc>
        <w:tc>
          <w:tcPr>
            <w:tcW w:w="4582" w:type="dxa"/>
          </w:tcPr>
          <w:p w14:paraId="21D6E284">
            <w:pPr>
              <w:pStyle w:val="51"/>
              <w:rPr>
                <w:kern w:val="0"/>
              </w:rPr>
            </w:pPr>
            <w:r>
              <w:rPr>
                <w:kern w:val="0"/>
              </w:rPr>
              <w:t>联动外网云端扫描系统，探测互联网上潜在的未知资产、不必要开放的资产，并自动验证互联网资产是否存在可利用漏洞、弱口令，提供暴露面收敛等相关整改建议</w:t>
            </w:r>
          </w:p>
          <w:p w14:paraId="032154F7">
            <w:pPr>
              <w:pStyle w:val="51"/>
              <w:rPr>
                <w:rFonts w:hint="eastAsia"/>
                <w:kern w:val="0"/>
              </w:rPr>
            </w:pPr>
            <w:r>
              <w:rPr>
                <w:kern w:val="0"/>
              </w:rPr>
              <w:t>服务频率1次/月</w:t>
            </w:r>
          </w:p>
        </w:tc>
      </w:tr>
      <w:tr w14:paraId="3D66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18E1F8EA">
            <w:pPr>
              <w:pStyle w:val="51"/>
              <w:numPr>
                <w:ilvl w:val="0"/>
                <w:numId w:val="1"/>
              </w:numPr>
              <w:ind w:left="425" w:leftChars="0" w:hanging="425" w:firstLineChars="0"/>
              <w:rPr>
                <w:rFonts w:hint="eastAsia"/>
                <w:kern w:val="0"/>
              </w:rPr>
            </w:pPr>
          </w:p>
        </w:tc>
        <w:tc>
          <w:tcPr>
            <w:tcW w:w="1784" w:type="dxa"/>
          </w:tcPr>
          <w:p w14:paraId="3016EB65">
            <w:pPr>
              <w:pStyle w:val="51"/>
              <w:rPr>
                <w:rFonts w:hint="eastAsia"/>
                <w:kern w:val="0"/>
              </w:rPr>
            </w:pPr>
            <w:r>
              <w:rPr>
                <w:kern w:val="0"/>
              </w:rPr>
              <w:t>互联网暴露面收敛指导服务</w:t>
            </w:r>
          </w:p>
        </w:tc>
        <w:tc>
          <w:tcPr>
            <w:tcW w:w="998" w:type="dxa"/>
          </w:tcPr>
          <w:p w14:paraId="7A5158FB">
            <w:pPr>
              <w:pStyle w:val="51"/>
              <w:rPr>
                <w:rFonts w:hint="eastAsia"/>
                <w:kern w:val="0"/>
              </w:rPr>
            </w:pPr>
            <w:r>
              <w:rPr>
                <w:kern w:val="0"/>
              </w:rPr>
              <w:t>1年</w:t>
            </w:r>
          </w:p>
        </w:tc>
        <w:tc>
          <w:tcPr>
            <w:tcW w:w="4582" w:type="dxa"/>
          </w:tcPr>
          <w:p w14:paraId="263E13E7">
            <w:pPr>
              <w:pStyle w:val="51"/>
              <w:rPr>
                <w:kern w:val="0"/>
              </w:rPr>
            </w:pPr>
            <w:r>
              <w:rPr>
                <w:kern w:val="0"/>
              </w:rPr>
              <w:t>建议用户关闭不必要开放到互联网的资产、端口、后台url页面，减少攻击面</w:t>
            </w:r>
          </w:p>
          <w:p w14:paraId="1DCF867A">
            <w:pPr>
              <w:pStyle w:val="51"/>
              <w:rPr>
                <w:rFonts w:hint="eastAsia"/>
                <w:kern w:val="0"/>
              </w:rPr>
            </w:pPr>
            <w:r>
              <w:rPr>
                <w:kern w:val="0"/>
              </w:rPr>
              <w:t>服务频率1次/月</w:t>
            </w:r>
          </w:p>
        </w:tc>
      </w:tr>
      <w:tr w14:paraId="11C6B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2A3B9E5D">
            <w:pPr>
              <w:pStyle w:val="51"/>
              <w:numPr>
                <w:ilvl w:val="0"/>
                <w:numId w:val="1"/>
              </w:numPr>
              <w:ind w:left="425" w:leftChars="0" w:hanging="425" w:firstLineChars="0"/>
              <w:rPr>
                <w:rFonts w:hint="eastAsia"/>
                <w:kern w:val="0"/>
              </w:rPr>
            </w:pPr>
          </w:p>
        </w:tc>
        <w:tc>
          <w:tcPr>
            <w:tcW w:w="1784" w:type="dxa"/>
          </w:tcPr>
          <w:p w14:paraId="4C37262F">
            <w:pPr>
              <w:pStyle w:val="51"/>
              <w:rPr>
                <w:rFonts w:hint="eastAsia"/>
                <w:kern w:val="0"/>
              </w:rPr>
            </w:pPr>
            <w:r>
              <w:rPr>
                <w:kern w:val="0"/>
              </w:rPr>
              <w:t>漏洞扫描服务</w:t>
            </w:r>
          </w:p>
        </w:tc>
        <w:tc>
          <w:tcPr>
            <w:tcW w:w="998" w:type="dxa"/>
          </w:tcPr>
          <w:p w14:paraId="7AC0AF17">
            <w:pPr>
              <w:pStyle w:val="51"/>
              <w:rPr>
                <w:rFonts w:hint="eastAsia"/>
                <w:kern w:val="0"/>
              </w:rPr>
            </w:pPr>
            <w:r>
              <w:rPr>
                <w:kern w:val="0"/>
              </w:rPr>
              <w:t>1年</w:t>
            </w:r>
          </w:p>
        </w:tc>
        <w:tc>
          <w:tcPr>
            <w:tcW w:w="4582" w:type="dxa"/>
          </w:tcPr>
          <w:p w14:paraId="5E9E3C6A">
            <w:pPr>
              <w:pStyle w:val="51"/>
              <w:rPr>
                <w:kern w:val="0"/>
              </w:rPr>
            </w:pPr>
            <w:r>
              <w:rPr>
                <w:kern w:val="0"/>
              </w:rPr>
              <w:t>对主机、网络设备、操作系统、数据库、中间件等进行常态化的漏洞与弱口令扫描，提供漏洞、弱口令扫描结果与整改建议</w:t>
            </w:r>
          </w:p>
          <w:p w14:paraId="4D09F346">
            <w:pPr>
              <w:pStyle w:val="51"/>
              <w:rPr>
                <w:rFonts w:hint="eastAsia"/>
                <w:kern w:val="0"/>
              </w:rPr>
            </w:pPr>
            <w:r>
              <w:rPr>
                <w:kern w:val="0"/>
              </w:rPr>
              <w:t>服务频率1次/季度</w:t>
            </w:r>
          </w:p>
        </w:tc>
      </w:tr>
      <w:tr w14:paraId="263BE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0E646FB4">
            <w:pPr>
              <w:pStyle w:val="51"/>
              <w:numPr>
                <w:ilvl w:val="0"/>
                <w:numId w:val="1"/>
              </w:numPr>
              <w:ind w:left="425" w:leftChars="0" w:hanging="425" w:firstLineChars="0"/>
              <w:rPr>
                <w:rFonts w:hint="eastAsia"/>
                <w:kern w:val="0"/>
              </w:rPr>
            </w:pPr>
          </w:p>
        </w:tc>
        <w:tc>
          <w:tcPr>
            <w:tcW w:w="1784" w:type="dxa"/>
          </w:tcPr>
          <w:p w14:paraId="3E1E07CF">
            <w:pPr>
              <w:pStyle w:val="51"/>
              <w:rPr>
                <w:rFonts w:hint="eastAsia"/>
                <w:kern w:val="0"/>
              </w:rPr>
            </w:pPr>
            <w:r>
              <w:rPr>
                <w:kern w:val="0"/>
              </w:rPr>
              <w:t>漏洞修复复测服务</w:t>
            </w:r>
          </w:p>
        </w:tc>
        <w:tc>
          <w:tcPr>
            <w:tcW w:w="998" w:type="dxa"/>
          </w:tcPr>
          <w:p w14:paraId="211E6B9D">
            <w:pPr>
              <w:pStyle w:val="51"/>
              <w:rPr>
                <w:rFonts w:hint="eastAsia"/>
                <w:kern w:val="0"/>
              </w:rPr>
            </w:pPr>
            <w:r>
              <w:rPr>
                <w:kern w:val="0"/>
              </w:rPr>
              <w:t>1年</w:t>
            </w:r>
          </w:p>
        </w:tc>
        <w:tc>
          <w:tcPr>
            <w:tcW w:w="4582" w:type="dxa"/>
          </w:tcPr>
          <w:p w14:paraId="19128EF9">
            <w:pPr>
              <w:pStyle w:val="51"/>
              <w:rPr>
                <w:kern w:val="0"/>
              </w:rPr>
            </w:pPr>
            <w:r>
              <w:rPr>
                <w:kern w:val="0"/>
              </w:rPr>
              <w:t>(1)采购人根据提交的漏洞报告进行整改修复，修复完成之后告知中标方。中标方得知后需要对漏洞进行复测，确认漏洞已经修复。</w:t>
            </w:r>
          </w:p>
          <w:p w14:paraId="46E331E2">
            <w:pPr>
              <w:pStyle w:val="51"/>
              <w:rPr>
                <w:kern w:val="0"/>
              </w:rPr>
            </w:pPr>
            <w:r>
              <w:rPr>
                <w:kern w:val="0"/>
              </w:rPr>
              <w:t>(2) 每季度 10 号之前需提交一份漏洞修复追踪表，按需开展复测工作</w:t>
            </w:r>
          </w:p>
          <w:p w14:paraId="27133097">
            <w:pPr>
              <w:pStyle w:val="51"/>
              <w:rPr>
                <w:rFonts w:hint="eastAsia"/>
                <w:kern w:val="0"/>
              </w:rPr>
            </w:pPr>
            <w:r>
              <w:rPr>
                <w:kern w:val="0"/>
              </w:rPr>
              <w:t>服务频率1次/季度</w:t>
            </w:r>
          </w:p>
        </w:tc>
      </w:tr>
      <w:tr w14:paraId="3B71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621DB20D">
            <w:pPr>
              <w:pStyle w:val="51"/>
              <w:numPr>
                <w:ilvl w:val="0"/>
                <w:numId w:val="1"/>
              </w:numPr>
              <w:ind w:left="425" w:leftChars="0" w:hanging="425" w:firstLineChars="0"/>
              <w:rPr>
                <w:rFonts w:hint="eastAsia"/>
                <w:kern w:val="0"/>
              </w:rPr>
            </w:pPr>
          </w:p>
        </w:tc>
        <w:tc>
          <w:tcPr>
            <w:tcW w:w="1784" w:type="dxa"/>
          </w:tcPr>
          <w:p w14:paraId="2844919D">
            <w:pPr>
              <w:pStyle w:val="51"/>
              <w:rPr>
                <w:rFonts w:hint="eastAsia"/>
                <w:kern w:val="0"/>
              </w:rPr>
            </w:pPr>
            <w:r>
              <w:rPr>
                <w:kern w:val="0"/>
              </w:rPr>
              <w:t>漏洞优先修复建议服务</w:t>
            </w:r>
          </w:p>
        </w:tc>
        <w:tc>
          <w:tcPr>
            <w:tcW w:w="998" w:type="dxa"/>
          </w:tcPr>
          <w:p w14:paraId="6992F54C">
            <w:pPr>
              <w:pStyle w:val="51"/>
              <w:rPr>
                <w:rFonts w:hint="eastAsia"/>
                <w:kern w:val="0"/>
              </w:rPr>
            </w:pPr>
            <w:r>
              <w:rPr>
                <w:kern w:val="0"/>
              </w:rPr>
              <w:t>1年</w:t>
            </w:r>
          </w:p>
        </w:tc>
        <w:tc>
          <w:tcPr>
            <w:tcW w:w="4582" w:type="dxa"/>
          </w:tcPr>
          <w:p w14:paraId="0852FD3F">
            <w:pPr>
              <w:pStyle w:val="51"/>
              <w:rPr>
                <w:kern w:val="0"/>
              </w:rPr>
            </w:pPr>
            <w:r>
              <w:rPr>
                <w:kern w:val="0"/>
              </w:rPr>
              <w:t>基于攻防视角评估资产漏洞风险，识别可实际产生风险的漏洞，提供漏洞修复的优先级建议，可大幅减少漏洞整改工作量</w:t>
            </w:r>
          </w:p>
          <w:p w14:paraId="45D94677">
            <w:pPr>
              <w:pStyle w:val="51"/>
              <w:rPr>
                <w:rFonts w:hint="eastAsia"/>
                <w:kern w:val="0"/>
              </w:rPr>
            </w:pPr>
            <w:r>
              <w:rPr>
                <w:kern w:val="0"/>
              </w:rPr>
              <w:t>服务频率1次/季度</w:t>
            </w:r>
          </w:p>
        </w:tc>
      </w:tr>
      <w:tr w14:paraId="072A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266160E4">
            <w:pPr>
              <w:pStyle w:val="51"/>
              <w:numPr>
                <w:ilvl w:val="0"/>
                <w:numId w:val="1"/>
              </w:numPr>
              <w:ind w:left="425" w:leftChars="0" w:hanging="425" w:firstLineChars="0"/>
              <w:rPr>
                <w:rFonts w:hint="eastAsia"/>
                <w:kern w:val="0"/>
              </w:rPr>
            </w:pPr>
          </w:p>
        </w:tc>
        <w:tc>
          <w:tcPr>
            <w:tcW w:w="1784" w:type="dxa"/>
          </w:tcPr>
          <w:p w14:paraId="00CED66F">
            <w:pPr>
              <w:pStyle w:val="51"/>
              <w:rPr>
                <w:rFonts w:hint="eastAsia"/>
                <w:kern w:val="0"/>
              </w:rPr>
            </w:pPr>
            <w:r>
              <w:rPr>
                <w:kern w:val="0"/>
              </w:rPr>
              <w:t>渗透测试服务</w:t>
            </w:r>
          </w:p>
        </w:tc>
        <w:tc>
          <w:tcPr>
            <w:tcW w:w="998" w:type="dxa"/>
          </w:tcPr>
          <w:p w14:paraId="1A051E5E">
            <w:pPr>
              <w:pStyle w:val="51"/>
              <w:rPr>
                <w:rFonts w:hint="eastAsia"/>
                <w:kern w:val="0"/>
              </w:rPr>
            </w:pPr>
            <w:r>
              <w:rPr>
                <w:kern w:val="0"/>
              </w:rPr>
              <w:t>1年</w:t>
            </w:r>
          </w:p>
        </w:tc>
        <w:tc>
          <w:tcPr>
            <w:tcW w:w="4582" w:type="dxa"/>
          </w:tcPr>
          <w:p w14:paraId="596A1692">
            <w:pPr>
              <w:pStyle w:val="51"/>
              <w:rPr>
                <w:kern w:val="0"/>
              </w:rPr>
            </w:pPr>
            <w:r>
              <w:rPr>
                <w:kern w:val="0"/>
              </w:rPr>
              <w:t>渗透测试，每年一次采用人工黑盒的方式对学校的一个应用系统进行模拟攻击测试，主要测试方法包括：信息收集、端口扫描、远程溢出、口令猜测、本地溢出、客户端攻击、中间人攻击、web 脚本渗透、B/S 或 C/S 应用程序测试等，使用工具和漏洞均为厂商自主知识产权安全工具</w:t>
            </w:r>
          </w:p>
          <w:p w14:paraId="516ABEE9">
            <w:pPr>
              <w:pStyle w:val="51"/>
              <w:rPr>
                <w:rFonts w:hint="eastAsia"/>
                <w:kern w:val="0"/>
              </w:rPr>
            </w:pPr>
            <w:r>
              <w:rPr>
                <w:kern w:val="0"/>
              </w:rPr>
              <w:t>全年完成1次测试</w:t>
            </w:r>
          </w:p>
        </w:tc>
      </w:tr>
      <w:tr w14:paraId="069A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10772F4F">
            <w:pPr>
              <w:pStyle w:val="51"/>
              <w:numPr>
                <w:ilvl w:val="0"/>
                <w:numId w:val="1"/>
              </w:numPr>
              <w:ind w:left="425" w:leftChars="0" w:hanging="425" w:firstLineChars="0"/>
              <w:rPr>
                <w:rFonts w:hint="eastAsia"/>
                <w:kern w:val="0"/>
              </w:rPr>
            </w:pPr>
          </w:p>
        </w:tc>
        <w:tc>
          <w:tcPr>
            <w:tcW w:w="1784" w:type="dxa"/>
          </w:tcPr>
          <w:p w14:paraId="475EA15F">
            <w:pPr>
              <w:pStyle w:val="51"/>
              <w:rPr>
                <w:rFonts w:hint="eastAsia"/>
                <w:kern w:val="0"/>
              </w:rPr>
            </w:pPr>
            <w:r>
              <w:rPr>
                <w:kern w:val="0"/>
              </w:rPr>
              <w:t>网站风险监测7*24小时服务</w:t>
            </w:r>
          </w:p>
        </w:tc>
        <w:tc>
          <w:tcPr>
            <w:tcW w:w="998" w:type="dxa"/>
          </w:tcPr>
          <w:p w14:paraId="146191C8">
            <w:pPr>
              <w:pStyle w:val="51"/>
              <w:rPr>
                <w:rFonts w:hint="eastAsia"/>
                <w:kern w:val="0"/>
              </w:rPr>
            </w:pPr>
            <w:r>
              <w:rPr>
                <w:kern w:val="0"/>
              </w:rPr>
              <w:t>1年</w:t>
            </w:r>
          </w:p>
        </w:tc>
        <w:tc>
          <w:tcPr>
            <w:tcW w:w="4582" w:type="dxa"/>
          </w:tcPr>
          <w:p w14:paraId="271AC233">
            <w:pPr>
              <w:pStyle w:val="51"/>
              <w:rPr>
                <w:kern w:val="0"/>
              </w:rPr>
            </w:pPr>
            <w:r>
              <w:rPr>
                <w:kern w:val="0"/>
              </w:rPr>
              <w:t>进行7*24小时网站监测，包含：“web漏洞、篡改、黑链/挂马、敏感文件、敏感词、可用性、域名劫持”等7个维度开展实时监测，并可通过邮件、飞书、钉钉、企业微信等告警形式提供网站风险预警服务</w:t>
            </w:r>
          </w:p>
          <w:p w14:paraId="7E225814">
            <w:pPr>
              <w:pStyle w:val="51"/>
              <w:rPr>
                <w:rFonts w:hint="eastAsia"/>
                <w:kern w:val="0"/>
              </w:rPr>
            </w:pPr>
            <w:r>
              <w:rPr>
                <w:kern w:val="0"/>
              </w:rPr>
              <w:t>7*24小时不间断监测</w:t>
            </w:r>
          </w:p>
        </w:tc>
      </w:tr>
      <w:tr w14:paraId="1120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5D1ED819">
            <w:pPr>
              <w:pStyle w:val="51"/>
              <w:numPr>
                <w:ilvl w:val="0"/>
                <w:numId w:val="1"/>
              </w:numPr>
              <w:ind w:left="425" w:leftChars="0" w:hanging="425" w:firstLineChars="0"/>
              <w:rPr>
                <w:rFonts w:hint="eastAsia"/>
                <w:kern w:val="0"/>
              </w:rPr>
            </w:pPr>
          </w:p>
        </w:tc>
        <w:tc>
          <w:tcPr>
            <w:tcW w:w="1784" w:type="dxa"/>
          </w:tcPr>
          <w:p w14:paraId="0355266E">
            <w:pPr>
              <w:pStyle w:val="51"/>
              <w:rPr>
                <w:rFonts w:hint="eastAsia"/>
                <w:kern w:val="0"/>
              </w:rPr>
            </w:pPr>
            <w:r>
              <w:rPr>
                <w:kern w:val="0"/>
              </w:rPr>
              <w:t>流量威胁监测服务</w:t>
            </w:r>
          </w:p>
        </w:tc>
        <w:tc>
          <w:tcPr>
            <w:tcW w:w="998" w:type="dxa"/>
          </w:tcPr>
          <w:p w14:paraId="74AFFA49">
            <w:pPr>
              <w:pStyle w:val="51"/>
              <w:rPr>
                <w:rFonts w:hint="eastAsia"/>
                <w:kern w:val="0"/>
              </w:rPr>
            </w:pPr>
            <w:r>
              <w:rPr>
                <w:kern w:val="0"/>
              </w:rPr>
              <w:t>1年</w:t>
            </w:r>
          </w:p>
        </w:tc>
        <w:tc>
          <w:tcPr>
            <w:tcW w:w="4582" w:type="dxa"/>
          </w:tcPr>
          <w:p w14:paraId="75D135EA">
            <w:pPr>
              <w:pStyle w:val="51"/>
              <w:rPr>
                <w:kern w:val="0"/>
              </w:rPr>
            </w:pPr>
            <w:r>
              <w:rPr>
                <w:kern w:val="0"/>
              </w:rPr>
              <w:t>旁路部署流量检测探针，监测互联网出口与服务器区域边界流量</w:t>
            </w:r>
            <w:r>
              <w:rPr>
                <w:rFonts w:hint="eastAsia"/>
                <w:b/>
                <w:bCs/>
                <w:kern w:val="0"/>
                <w:u w:val="single"/>
                <w:lang w:eastAsia="zh-CN"/>
              </w:rPr>
              <w:t>（</w:t>
            </w:r>
            <w:r>
              <w:rPr>
                <w:rFonts w:hint="eastAsia"/>
                <w:b/>
                <w:bCs/>
                <w:kern w:val="0"/>
                <w:u w:val="single"/>
                <w:lang w:val="en-US" w:eastAsia="zh-CN"/>
              </w:rPr>
              <w:t>流量2G</w:t>
            </w:r>
            <w:r>
              <w:rPr>
                <w:rFonts w:hint="eastAsia"/>
                <w:b/>
                <w:bCs/>
                <w:kern w:val="0"/>
                <w:u w:val="single"/>
                <w:lang w:eastAsia="zh-CN"/>
              </w:rPr>
              <w:t>）</w:t>
            </w:r>
            <w:r>
              <w:rPr>
                <w:kern w:val="0"/>
              </w:rPr>
              <w:t>，基于威胁计分算法精准识别恶意IP</w:t>
            </w:r>
          </w:p>
          <w:p w14:paraId="06096A0E">
            <w:pPr>
              <w:pStyle w:val="51"/>
              <w:rPr>
                <w:kern w:val="0"/>
              </w:rPr>
            </w:pPr>
            <w:r>
              <w:rPr>
                <w:rFonts w:hint="eastAsia"/>
                <w:b/>
                <w:bCs/>
                <w:kern w:val="0"/>
                <w:u w:val="single"/>
              </w:rPr>
              <w:t>【</w:t>
            </w:r>
            <w:r>
              <w:rPr>
                <w:b/>
                <w:bCs/>
                <w:kern w:val="0"/>
                <w:u w:val="single"/>
              </w:rPr>
              <w:t>探针</w:t>
            </w:r>
            <w:r>
              <w:rPr>
                <w:rFonts w:hint="eastAsia"/>
                <w:b/>
                <w:bCs/>
                <w:kern w:val="0"/>
                <w:u w:val="single"/>
              </w:rPr>
              <w:t>服务</w:t>
            </w:r>
            <w:r>
              <w:rPr>
                <w:b/>
                <w:bCs/>
                <w:kern w:val="0"/>
                <w:u w:val="single"/>
              </w:rPr>
              <w:t>一年</w:t>
            </w:r>
            <w:r>
              <w:rPr>
                <w:rFonts w:hint="eastAsia"/>
                <w:b/>
                <w:bCs/>
                <w:kern w:val="0"/>
                <w:u w:val="single"/>
              </w:rPr>
              <w:t>】</w:t>
            </w:r>
          </w:p>
          <w:p w14:paraId="1E21C8CC">
            <w:pPr>
              <w:pStyle w:val="51"/>
              <w:rPr>
                <w:rFonts w:hint="eastAsia"/>
                <w:kern w:val="0"/>
              </w:rPr>
            </w:pPr>
            <w:r>
              <w:rPr>
                <w:kern w:val="0"/>
              </w:rPr>
              <w:t>7*24小时不间断监测</w:t>
            </w:r>
          </w:p>
        </w:tc>
      </w:tr>
      <w:tr w14:paraId="2E0B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7DCDE71">
            <w:pPr>
              <w:pStyle w:val="51"/>
              <w:numPr>
                <w:ilvl w:val="0"/>
                <w:numId w:val="1"/>
              </w:numPr>
              <w:ind w:left="425" w:leftChars="0" w:hanging="425" w:firstLineChars="0"/>
              <w:rPr>
                <w:rFonts w:hint="eastAsia"/>
                <w:kern w:val="0"/>
              </w:rPr>
            </w:pPr>
          </w:p>
        </w:tc>
        <w:tc>
          <w:tcPr>
            <w:tcW w:w="1784" w:type="dxa"/>
          </w:tcPr>
          <w:p w14:paraId="2F4E57F7">
            <w:pPr>
              <w:pStyle w:val="51"/>
              <w:rPr>
                <w:rFonts w:hint="eastAsia"/>
                <w:kern w:val="0"/>
              </w:rPr>
            </w:pPr>
            <w:r>
              <w:rPr>
                <w:kern w:val="0"/>
              </w:rPr>
              <w:t>蜜罐威胁诱捕服务</w:t>
            </w:r>
          </w:p>
        </w:tc>
        <w:tc>
          <w:tcPr>
            <w:tcW w:w="998" w:type="dxa"/>
          </w:tcPr>
          <w:p w14:paraId="6B915A12">
            <w:pPr>
              <w:pStyle w:val="51"/>
              <w:rPr>
                <w:rFonts w:hint="eastAsia"/>
                <w:kern w:val="0"/>
              </w:rPr>
            </w:pPr>
            <w:r>
              <w:rPr>
                <w:kern w:val="0"/>
              </w:rPr>
              <w:t>1年</w:t>
            </w:r>
          </w:p>
        </w:tc>
        <w:tc>
          <w:tcPr>
            <w:tcW w:w="4582" w:type="dxa"/>
          </w:tcPr>
          <w:p w14:paraId="1DD3788C">
            <w:pPr>
              <w:pStyle w:val="51"/>
              <w:rPr>
                <w:kern w:val="0"/>
              </w:rPr>
            </w:pPr>
            <w:r>
              <w:rPr>
                <w:kern w:val="0"/>
              </w:rPr>
              <w:t>旁路部署高交互或无漏洞的仿真蜜罐，精准诱捕攻击蜜罐的失陷主机，实时零误报定位攻击威胁：勒索病毒传播、内网主机被远控后横向攻击（如钓鱼远控、供应链威胁）</w:t>
            </w:r>
          </w:p>
          <w:p w14:paraId="42395F59">
            <w:pPr>
              <w:pStyle w:val="51"/>
              <w:rPr>
                <w:rFonts w:hint="eastAsia"/>
                <w:kern w:val="0"/>
              </w:rPr>
            </w:pPr>
            <w:r>
              <w:rPr>
                <w:kern w:val="0"/>
              </w:rPr>
              <w:t>7*24小时不间断诱捕监测</w:t>
            </w:r>
          </w:p>
        </w:tc>
      </w:tr>
      <w:tr w14:paraId="06F5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2A6830AF">
            <w:pPr>
              <w:pStyle w:val="51"/>
              <w:numPr>
                <w:ilvl w:val="0"/>
                <w:numId w:val="1"/>
              </w:numPr>
              <w:ind w:left="425" w:leftChars="0" w:hanging="425" w:firstLineChars="0"/>
              <w:rPr>
                <w:rFonts w:hint="eastAsia"/>
                <w:kern w:val="0"/>
              </w:rPr>
            </w:pPr>
          </w:p>
        </w:tc>
        <w:tc>
          <w:tcPr>
            <w:tcW w:w="1784" w:type="dxa"/>
          </w:tcPr>
          <w:p w14:paraId="7A207B65">
            <w:pPr>
              <w:pStyle w:val="51"/>
              <w:rPr>
                <w:rFonts w:hint="eastAsia"/>
                <w:kern w:val="0"/>
              </w:rPr>
            </w:pPr>
            <w:r>
              <w:rPr>
                <w:kern w:val="0"/>
              </w:rPr>
              <w:t>翻墙上网监测服务</w:t>
            </w:r>
          </w:p>
        </w:tc>
        <w:tc>
          <w:tcPr>
            <w:tcW w:w="998" w:type="dxa"/>
          </w:tcPr>
          <w:p w14:paraId="4B2AB904">
            <w:pPr>
              <w:pStyle w:val="51"/>
              <w:rPr>
                <w:rFonts w:hint="eastAsia"/>
                <w:kern w:val="0"/>
              </w:rPr>
            </w:pPr>
            <w:r>
              <w:rPr>
                <w:kern w:val="0"/>
              </w:rPr>
              <w:t>1年</w:t>
            </w:r>
          </w:p>
        </w:tc>
        <w:tc>
          <w:tcPr>
            <w:tcW w:w="4582" w:type="dxa"/>
          </w:tcPr>
          <w:p w14:paraId="0ECE9E99">
            <w:pPr>
              <w:pStyle w:val="51"/>
              <w:rPr>
                <w:kern w:val="0"/>
              </w:rPr>
            </w:pPr>
            <w:r>
              <w:rPr>
                <w:kern w:val="0"/>
              </w:rPr>
              <w:t>支持流量加密及非加密场景的翻墙上网行为监测，实现对翻墙上网行为的实时识别、溯源分析与可视化呈现</w:t>
            </w:r>
          </w:p>
          <w:p w14:paraId="4108BAE0">
            <w:pPr>
              <w:pStyle w:val="51"/>
              <w:rPr>
                <w:rFonts w:hint="eastAsia"/>
                <w:kern w:val="0"/>
              </w:rPr>
            </w:pPr>
            <w:r>
              <w:rPr>
                <w:kern w:val="0"/>
              </w:rPr>
              <w:t>7*24小时不间断监测</w:t>
            </w:r>
          </w:p>
        </w:tc>
      </w:tr>
      <w:tr w14:paraId="7D79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250BA3A6">
            <w:pPr>
              <w:pStyle w:val="51"/>
              <w:numPr>
                <w:ilvl w:val="0"/>
                <w:numId w:val="1"/>
              </w:numPr>
              <w:ind w:left="425" w:leftChars="0" w:hanging="425" w:firstLineChars="0"/>
              <w:rPr>
                <w:rFonts w:hint="eastAsia"/>
                <w:kern w:val="0"/>
              </w:rPr>
            </w:pPr>
          </w:p>
        </w:tc>
        <w:tc>
          <w:tcPr>
            <w:tcW w:w="1784" w:type="dxa"/>
          </w:tcPr>
          <w:p w14:paraId="4A91CF5A">
            <w:pPr>
              <w:pStyle w:val="51"/>
              <w:rPr>
                <w:rFonts w:hint="eastAsia"/>
                <w:kern w:val="0"/>
              </w:rPr>
            </w:pPr>
            <w:r>
              <w:rPr>
                <w:kern w:val="0"/>
              </w:rPr>
              <w:t>智能AI+威胁情报服务</w:t>
            </w:r>
          </w:p>
        </w:tc>
        <w:tc>
          <w:tcPr>
            <w:tcW w:w="998" w:type="dxa"/>
          </w:tcPr>
          <w:p w14:paraId="56CC8470">
            <w:pPr>
              <w:pStyle w:val="51"/>
              <w:rPr>
                <w:rFonts w:hint="eastAsia"/>
                <w:kern w:val="0"/>
              </w:rPr>
            </w:pPr>
            <w:r>
              <w:rPr>
                <w:kern w:val="0"/>
              </w:rPr>
              <w:t>1年</w:t>
            </w:r>
          </w:p>
        </w:tc>
        <w:tc>
          <w:tcPr>
            <w:tcW w:w="4582" w:type="dxa"/>
          </w:tcPr>
          <w:p w14:paraId="4D819F39">
            <w:pPr>
              <w:pStyle w:val="51"/>
              <w:rPr>
                <w:kern w:val="0"/>
              </w:rPr>
            </w:pPr>
            <w:r>
              <w:rPr>
                <w:kern w:val="0"/>
              </w:rPr>
              <w:t>1.智能AI研判分析：自动威胁告警进行降噪研判分析，自动研判出各种威胁类型：非法外联、外网攻击、内网横向、暴力破解、利用成功等；</w:t>
            </w:r>
          </w:p>
          <w:p w14:paraId="65D3EA16">
            <w:pPr>
              <w:pStyle w:val="51"/>
              <w:rPr>
                <w:kern w:val="0"/>
              </w:rPr>
            </w:pPr>
            <w:r>
              <w:rPr>
                <w:kern w:val="0"/>
              </w:rPr>
              <w:t>2.威胁情报：关联全球威胁情报，精准检测网络中的病毒域名请求、恶意IP流量威胁</w:t>
            </w:r>
          </w:p>
          <w:p w14:paraId="7F01A73B">
            <w:pPr>
              <w:pStyle w:val="51"/>
              <w:rPr>
                <w:rFonts w:hint="eastAsia"/>
                <w:kern w:val="0"/>
              </w:rPr>
            </w:pPr>
            <w:r>
              <w:rPr>
                <w:kern w:val="0"/>
              </w:rPr>
              <w:t>7*24小时持续运行</w:t>
            </w:r>
          </w:p>
        </w:tc>
      </w:tr>
      <w:tr w14:paraId="666B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B44A590">
            <w:pPr>
              <w:pStyle w:val="51"/>
              <w:numPr>
                <w:ilvl w:val="0"/>
                <w:numId w:val="1"/>
              </w:numPr>
              <w:ind w:left="425" w:leftChars="0" w:hanging="425" w:firstLineChars="0"/>
              <w:rPr>
                <w:rFonts w:hint="eastAsia"/>
                <w:kern w:val="0"/>
              </w:rPr>
            </w:pPr>
          </w:p>
        </w:tc>
        <w:tc>
          <w:tcPr>
            <w:tcW w:w="1784" w:type="dxa"/>
          </w:tcPr>
          <w:p w14:paraId="53906166">
            <w:pPr>
              <w:pStyle w:val="51"/>
              <w:rPr>
                <w:rFonts w:hint="eastAsia"/>
                <w:kern w:val="0"/>
              </w:rPr>
            </w:pPr>
            <w:r>
              <w:rPr>
                <w:kern w:val="0"/>
              </w:rPr>
              <w:t>安服工具本地部署服务</w:t>
            </w:r>
          </w:p>
        </w:tc>
        <w:tc>
          <w:tcPr>
            <w:tcW w:w="998" w:type="dxa"/>
          </w:tcPr>
          <w:p w14:paraId="64F568F5">
            <w:pPr>
              <w:pStyle w:val="51"/>
              <w:rPr>
                <w:rFonts w:hint="eastAsia"/>
                <w:b/>
                <w:bCs/>
                <w:kern w:val="0"/>
                <w:u w:val="single"/>
              </w:rPr>
            </w:pPr>
            <w:r>
              <w:rPr>
                <w:b/>
                <w:bCs/>
                <w:kern w:val="0"/>
                <w:u w:val="single"/>
              </w:rPr>
              <w:t>合同签订后15日内部署，服务期1年</w:t>
            </w:r>
          </w:p>
        </w:tc>
        <w:tc>
          <w:tcPr>
            <w:tcW w:w="4582" w:type="dxa"/>
          </w:tcPr>
          <w:p w14:paraId="2FA68438">
            <w:pPr>
              <w:pStyle w:val="51"/>
              <w:rPr>
                <w:kern w:val="0"/>
              </w:rPr>
            </w:pPr>
            <w:r>
              <w:rPr>
                <w:kern w:val="0"/>
              </w:rPr>
              <w:t>在用户本地部署一体化安服工具，安服工具不仅提供了“资产管理、脆弱性管理、威胁监测、响应与处置”等能力，而且数据统一汇总在安服工具上；用户可随时使用安服工具的功能，以及查看安服数据，按需运维使用</w:t>
            </w:r>
          </w:p>
          <w:p w14:paraId="35C87637">
            <w:pPr>
              <w:pStyle w:val="51"/>
              <w:rPr>
                <w:rFonts w:hint="eastAsia"/>
                <w:b/>
                <w:bCs/>
                <w:kern w:val="0"/>
                <w:u w:val="single"/>
              </w:rPr>
            </w:pPr>
            <w:r>
              <w:rPr>
                <w:rFonts w:hint="eastAsia"/>
                <w:b/>
                <w:bCs/>
                <w:kern w:val="0"/>
                <w:u w:val="single"/>
              </w:rPr>
              <w:t>【</w:t>
            </w:r>
            <w:r>
              <w:rPr>
                <w:b/>
                <w:bCs/>
                <w:kern w:val="0"/>
                <w:u w:val="single"/>
              </w:rPr>
              <w:t>探针</w:t>
            </w:r>
            <w:r>
              <w:rPr>
                <w:rFonts w:hint="eastAsia"/>
                <w:b/>
                <w:bCs/>
                <w:kern w:val="0"/>
                <w:u w:val="single"/>
              </w:rPr>
              <w:t>服务</w:t>
            </w:r>
            <w:r>
              <w:rPr>
                <w:b/>
                <w:bCs/>
                <w:kern w:val="0"/>
                <w:u w:val="single"/>
              </w:rPr>
              <w:t>一年</w:t>
            </w:r>
            <w:r>
              <w:rPr>
                <w:rFonts w:hint="eastAsia"/>
                <w:b/>
                <w:bCs/>
                <w:kern w:val="0"/>
                <w:u w:val="single"/>
              </w:rPr>
              <w:t>】</w:t>
            </w:r>
          </w:p>
        </w:tc>
      </w:tr>
      <w:tr w14:paraId="7491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56B3EB9B">
            <w:pPr>
              <w:pStyle w:val="51"/>
              <w:numPr>
                <w:ilvl w:val="0"/>
                <w:numId w:val="1"/>
              </w:numPr>
              <w:ind w:left="425" w:leftChars="0" w:hanging="425" w:firstLineChars="0"/>
              <w:rPr>
                <w:rFonts w:hint="eastAsia"/>
                <w:kern w:val="0"/>
              </w:rPr>
            </w:pPr>
          </w:p>
        </w:tc>
        <w:tc>
          <w:tcPr>
            <w:tcW w:w="1784" w:type="dxa"/>
          </w:tcPr>
          <w:p w14:paraId="4F62874D">
            <w:pPr>
              <w:pStyle w:val="51"/>
              <w:rPr>
                <w:rFonts w:hint="eastAsia"/>
                <w:kern w:val="0"/>
              </w:rPr>
            </w:pPr>
            <w:r>
              <w:rPr>
                <w:kern w:val="0"/>
              </w:rPr>
              <w:t>二级等保测评服务</w:t>
            </w:r>
          </w:p>
        </w:tc>
        <w:tc>
          <w:tcPr>
            <w:tcW w:w="998" w:type="dxa"/>
          </w:tcPr>
          <w:p w14:paraId="11ED87B1">
            <w:pPr>
              <w:pStyle w:val="51"/>
              <w:rPr>
                <w:rFonts w:hint="eastAsia"/>
                <w:kern w:val="0"/>
              </w:rPr>
            </w:pPr>
            <w:r>
              <w:rPr>
                <w:kern w:val="0"/>
              </w:rPr>
              <w:t>1年</w:t>
            </w:r>
          </w:p>
        </w:tc>
        <w:tc>
          <w:tcPr>
            <w:tcW w:w="4582" w:type="dxa"/>
          </w:tcPr>
          <w:p w14:paraId="607B484C">
            <w:pPr>
              <w:pStyle w:val="51"/>
              <w:rPr>
                <w:rFonts w:hint="eastAsia"/>
                <w:kern w:val="0"/>
              </w:rPr>
            </w:pPr>
            <w:r>
              <w:rPr>
                <w:kern w:val="0"/>
              </w:rPr>
              <w:t>完成 1 个系统的二级等级保护测评相关工作，出具二级等保测评报告，配合采购人完成整改及备案工作</w:t>
            </w:r>
          </w:p>
        </w:tc>
      </w:tr>
      <w:tr w14:paraId="27F0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0ACAE8FC">
            <w:pPr>
              <w:pStyle w:val="51"/>
              <w:numPr>
                <w:ilvl w:val="0"/>
                <w:numId w:val="1"/>
              </w:numPr>
              <w:ind w:left="425" w:leftChars="0" w:hanging="425" w:firstLineChars="0"/>
              <w:rPr>
                <w:rFonts w:hint="eastAsia"/>
                <w:kern w:val="0"/>
              </w:rPr>
            </w:pPr>
          </w:p>
        </w:tc>
        <w:tc>
          <w:tcPr>
            <w:tcW w:w="1784" w:type="dxa"/>
          </w:tcPr>
          <w:p w14:paraId="2558C505">
            <w:pPr>
              <w:pStyle w:val="51"/>
              <w:rPr>
                <w:rFonts w:hint="eastAsia"/>
                <w:kern w:val="0"/>
              </w:rPr>
            </w:pPr>
            <w:r>
              <w:rPr>
                <w:kern w:val="0"/>
              </w:rPr>
              <w:t>重保期间安全保障服务</w:t>
            </w:r>
          </w:p>
        </w:tc>
        <w:tc>
          <w:tcPr>
            <w:tcW w:w="998" w:type="dxa"/>
          </w:tcPr>
          <w:p w14:paraId="598B1081">
            <w:pPr>
              <w:pStyle w:val="51"/>
              <w:rPr>
                <w:rFonts w:hint="eastAsia"/>
                <w:kern w:val="0"/>
              </w:rPr>
            </w:pPr>
            <w:r>
              <w:rPr>
                <w:kern w:val="0"/>
              </w:rPr>
              <w:t>1年</w:t>
            </w:r>
          </w:p>
        </w:tc>
        <w:tc>
          <w:tcPr>
            <w:tcW w:w="4582" w:type="dxa"/>
          </w:tcPr>
          <w:p w14:paraId="47050DD6">
            <w:pPr>
              <w:pStyle w:val="51"/>
              <w:rPr>
                <w:rFonts w:hint="eastAsia"/>
                <w:kern w:val="0"/>
              </w:rPr>
            </w:pPr>
            <w:r>
              <w:rPr>
                <w:kern w:val="0"/>
              </w:rPr>
              <w:t>重保期间、上级部门检查期间、网络应急事件发生期间等安排专业人员到校做好安全保障，若发生外部黑客入侵等突发安全事件，协助进行事件检测与分析、问题处置、业务恢复，最大化降低安全事件带来的影响，按需到场保障处置</w:t>
            </w:r>
          </w:p>
        </w:tc>
      </w:tr>
    </w:tbl>
    <w:p w14:paraId="2006703D">
      <w:pPr>
        <w:adjustRightInd w:val="0"/>
        <w:snapToGrid w:val="0"/>
        <w:spacing w:line="360" w:lineRule="auto"/>
        <w:ind w:right="211"/>
        <w:rPr>
          <w:rFonts w:hint="eastAsia" w:ascii="宋体" w:hAnsi="宋体" w:eastAsia="宋体" w:cs="Times New Roman"/>
          <w:bCs/>
          <w:kern w:val="0"/>
          <w:sz w:val="28"/>
          <w:u w:val="none" w:color="000000"/>
        </w:rPr>
      </w:pPr>
    </w:p>
    <w:p w14:paraId="7021425A">
      <w:pPr>
        <w:numPr>
          <w:ilvl w:val="0"/>
          <w:numId w:val="2"/>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技术</w:t>
      </w:r>
      <w:r>
        <w:rPr>
          <w:rFonts w:hint="eastAsia" w:ascii="宋体" w:hAnsi="宋体"/>
          <w:b/>
          <w:color w:val="000000"/>
          <w:kern w:val="0"/>
          <w:sz w:val="28"/>
          <w:szCs w:val="28"/>
        </w:rPr>
        <w:t>要求：</w:t>
      </w:r>
    </w:p>
    <w:p w14:paraId="5D627A3B">
      <w:pPr>
        <w:widowControl w:val="0"/>
        <w:spacing w:after="0" w:line="360" w:lineRule="auto"/>
        <w:ind w:firstLine="602" w:firstLineChars="200"/>
        <w:jc w:val="both"/>
        <w:outlineLvl w:val="1"/>
        <w:rPr>
          <w:rFonts w:ascii="宋体" w:hAnsi="宋体" w:eastAsia="宋体" w:cs="Arial"/>
          <w:b/>
          <w:kern w:val="2"/>
          <w:sz w:val="30"/>
          <w:szCs w:val="20"/>
          <w:lang w:val="en-US" w:eastAsia="zh-CN" w:bidi="ar-SA"/>
          <w14:ligatures w14:val="none"/>
        </w:rPr>
      </w:pPr>
      <w:bookmarkStart w:id="9" w:name="heading_3"/>
      <w:r>
        <w:rPr>
          <w:rFonts w:ascii="宋体" w:hAnsi="宋体" w:eastAsia="宋体" w:cs="Arial"/>
          <w:b/>
          <w:kern w:val="2"/>
          <w:sz w:val="30"/>
          <w:szCs w:val="20"/>
          <w:lang w:val="en-US" w:eastAsia="zh-CN" w:bidi="ar-SA"/>
          <w14:ligatures w14:val="none"/>
        </w:rPr>
        <w:t>（一）整体功能要求</w:t>
      </w:r>
      <w:bookmarkEnd w:id="9"/>
    </w:p>
    <w:p w14:paraId="3E180689">
      <w:pPr>
        <w:ind w:firstLine="480"/>
        <w:rPr>
          <w:rFonts w:ascii="Times New Roman" w:hAnsi="Times New Roman" w:eastAsia="宋体" w:cs="Times New Roman"/>
          <w:sz w:val="24"/>
          <w:szCs w:val="20"/>
          <w14:ligatures w14:val="none"/>
        </w:rPr>
      </w:pPr>
      <w:r>
        <w:rPr>
          <w:rFonts w:ascii="Times New Roman" w:hAnsi="Times New Roman" w:eastAsia="宋体" w:cs="Times New Roman"/>
          <w:sz w:val="24"/>
          <w:szCs w:val="20"/>
          <w14:ligatures w14:val="none"/>
        </w:rPr>
        <w:t>本项目需提供</w:t>
      </w:r>
      <w:r>
        <w:rPr>
          <w:rFonts w:ascii="Times New Roman" w:hAnsi="Times New Roman" w:eastAsia="宋体" w:cs="Times New Roman"/>
          <w:b/>
          <w:sz w:val="24"/>
          <w:szCs w:val="20"/>
          <w14:ligatures w14:val="none"/>
        </w:rPr>
        <w:t>本地部署安全运营平台 + 配套全年安全运营远程技术服务</w:t>
      </w:r>
      <w:r>
        <w:rPr>
          <w:rFonts w:ascii="Times New Roman" w:hAnsi="Times New Roman" w:eastAsia="宋体" w:cs="Times New Roman"/>
          <w:sz w:val="24"/>
          <w:szCs w:val="20"/>
          <w14:ligatures w14:val="none"/>
        </w:rPr>
        <w:t>，覆盖资产测绘、脆弱性闭环、渗透测试</w:t>
      </w:r>
      <w:r>
        <w:rPr>
          <w:rFonts w:hint="eastAsia" w:ascii="Times New Roman" w:hAnsi="Times New Roman" w:eastAsia="宋体" w:cs="Times New Roman"/>
          <w:sz w:val="24"/>
          <w:szCs w:val="20"/>
          <w14:ligatures w14:val="none"/>
        </w:rPr>
        <w:t>、</w:t>
      </w:r>
      <w:r>
        <w:rPr>
          <w:rFonts w:ascii="Times New Roman" w:hAnsi="Times New Roman" w:eastAsia="宋体" w:cs="Times New Roman"/>
          <w:sz w:val="24"/>
          <w:szCs w:val="20"/>
          <w14:ligatures w14:val="none"/>
        </w:rPr>
        <w:t>7×24 小时威胁检测、等保测评、</w:t>
      </w:r>
      <w:r>
        <w:rPr>
          <w:rFonts w:hint="eastAsia" w:ascii="Times New Roman" w:hAnsi="Times New Roman" w:eastAsia="宋体" w:cs="Times New Roman"/>
          <w:sz w:val="24"/>
          <w:szCs w:val="20"/>
          <w14:ligatures w14:val="none"/>
        </w:rPr>
        <w:t>重保支撑</w:t>
      </w:r>
      <w:r>
        <w:rPr>
          <w:rFonts w:ascii="Times New Roman" w:hAnsi="Times New Roman" w:eastAsia="宋体" w:cs="Times New Roman"/>
          <w:sz w:val="24"/>
          <w:szCs w:val="20"/>
          <w14:ligatures w14:val="none"/>
        </w:rPr>
        <w:t>全链条安全能力，实现校园网络资产可知、风险可测、威胁可防、事件可追溯，满足《网络安全法》《数据安全法》《个人信息保护法》、GB/T22239-2019 二级等保标准、教育行业网络安全管理规范要求。</w:t>
      </w:r>
      <w:bookmarkStart w:id="10" w:name="heading_4"/>
    </w:p>
    <w:p w14:paraId="7F264B63">
      <w:pPr>
        <w:ind w:firstLine="480"/>
        <w:rPr>
          <w:rFonts w:hint="eastAsia" w:ascii="宋体" w:hAnsi="宋体" w:eastAsia="宋体" w:cs="Arial"/>
          <w:b/>
          <w:kern w:val="2"/>
          <w:sz w:val="30"/>
          <w:szCs w:val="20"/>
          <w:lang w:val="en-US" w:eastAsia="zh-CN" w:bidi="ar-SA"/>
          <w14:ligatures w14:val="none"/>
        </w:rPr>
      </w:pPr>
      <w:r>
        <w:rPr>
          <w:rFonts w:ascii="宋体" w:hAnsi="宋体" w:eastAsia="宋体" w:cs="Arial"/>
          <w:b/>
          <w:kern w:val="2"/>
          <w:sz w:val="30"/>
          <w:szCs w:val="20"/>
          <w:lang w:val="en-US" w:eastAsia="zh-CN" w:bidi="ar-SA"/>
          <w14:ligatures w14:val="none"/>
        </w:rPr>
        <w:t>（二）执行标准</w:t>
      </w:r>
      <w:bookmarkEnd w:id="10"/>
    </w:p>
    <w:p w14:paraId="7C1ADDC5">
      <w:pPr>
        <w:widowControl w:val="0"/>
        <w:numPr>
          <w:ilvl w:val="0"/>
          <w:numId w:val="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《信息安全技术 网络安全等级保护基本要求》GB/T22239-2019</w:t>
      </w:r>
    </w:p>
    <w:p w14:paraId="37FC4E38">
      <w:pPr>
        <w:widowControl w:val="0"/>
        <w:numPr>
          <w:ilvl w:val="0"/>
          <w:numId w:val="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《信息安全技术 网络安全漏洞管理规范》GB/T30276</w:t>
      </w:r>
    </w:p>
    <w:p w14:paraId="61BC703C">
      <w:pPr>
        <w:widowControl w:val="0"/>
        <w:numPr>
          <w:ilvl w:val="0"/>
          <w:numId w:val="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《信息安全风险评估规范》GB/T20984</w:t>
      </w:r>
    </w:p>
    <w:p w14:paraId="59C37FDC">
      <w:pPr>
        <w:widowControl w:val="0"/>
        <w:numPr>
          <w:ilvl w:val="0"/>
          <w:numId w:val="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《网络安全威胁情报应用指南》</w:t>
      </w:r>
    </w:p>
    <w:p w14:paraId="0406705F">
      <w:pPr>
        <w:widowControl w:val="0"/>
        <w:numPr>
          <w:ilvl w:val="0"/>
          <w:numId w:val="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教育部《教育信息化 2.0 行动计划网络安全规范》</w:t>
      </w:r>
    </w:p>
    <w:p w14:paraId="09AC806F">
      <w:pPr>
        <w:widowControl w:val="0"/>
        <w:spacing w:after="0" w:line="360" w:lineRule="auto"/>
        <w:ind w:firstLine="602" w:firstLineChars="200"/>
        <w:jc w:val="both"/>
        <w:outlineLvl w:val="1"/>
        <w:rPr>
          <w:rFonts w:hint="eastAsia" w:ascii="宋体" w:hAnsi="宋体" w:eastAsia="宋体" w:cs="Arial"/>
          <w:b/>
          <w:kern w:val="2"/>
          <w:sz w:val="30"/>
          <w:szCs w:val="20"/>
          <w:lang w:val="en-US" w:eastAsia="zh-CN" w:bidi="ar-SA"/>
          <w14:ligatures w14:val="none"/>
        </w:rPr>
      </w:pPr>
      <w:bookmarkStart w:id="11" w:name="heading_5"/>
      <w:r>
        <w:rPr>
          <w:rFonts w:ascii="宋体" w:hAnsi="宋体" w:eastAsia="宋体" w:cs="Arial"/>
          <w:b/>
          <w:kern w:val="2"/>
          <w:sz w:val="30"/>
          <w:szCs w:val="20"/>
          <w:lang w:val="en-US" w:eastAsia="zh-CN" w:bidi="ar-SA"/>
          <w14:ligatures w14:val="none"/>
        </w:rPr>
        <w:t>（三）</w:t>
      </w:r>
      <w:bookmarkEnd w:id="11"/>
      <w:r>
        <w:rPr>
          <w:rFonts w:hint="eastAsia" w:ascii="宋体" w:hAnsi="宋体" w:eastAsia="宋体" w:cs="Arial"/>
          <w:b/>
          <w:kern w:val="2"/>
          <w:sz w:val="30"/>
          <w:szCs w:val="20"/>
          <w:lang w:val="en-US" w:eastAsia="zh-CN" w:bidi="ar-SA"/>
          <w14:ligatures w14:val="none"/>
        </w:rPr>
        <w:t>平台工具要求</w:t>
      </w:r>
    </w:p>
    <w:p w14:paraId="2FB961B6">
      <w:pPr>
        <w:widowControl w:val="0"/>
        <w:spacing w:after="0" w:line="360" w:lineRule="auto"/>
        <w:ind w:firstLine="562" w:firstLineChars="200"/>
        <w:jc w:val="both"/>
        <w:outlineLvl w:val="2"/>
        <w:rPr>
          <w:rFonts w:ascii="宋体" w:hAnsi="宋体" w:eastAsia="宋体" w:cs="Arial"/>
          <w:b/>
          <w:kern w:val="2"/>
          <w:sz w:val="28"/>
          <w:szCs w:val="20"/>
          <w:lang w:val="en-US" w:eastAsia="zh-CN" w:bidi="ar-SA"/>
          <w14:ligatures w14:val="none"/>
        </w:rPr>
      </w:pPr>
      <w:bookmarkStart w:id="12" w:name="heading_6"/>
      <w:r>
        <w:rPr>
          <w:rFonts w:ascii="宋体" w:hAnsi="宋体" w:eastAsia="宋体" w:cs="Arial"/>
          <w:b/>
          <w:kern w:val="2"/>
          <w:sz w:val="28"/>
          <w:szCs w:val="20"/>
          <w:lang w:val="en-US" w:eastAsia="zh-CN" w:bidi="ar-SA"/>
          <w14:ligatures w14:val="none"/>
        </w:rPr>
        <w:t>1. 安服工具本地部署平台</w:t>
      </w:r>
      <w:bookmarkEnd w:id="12"/>
    </w:p>
    <w:p w14:paraId="2E3EB612">
      <w:pPr>
        <w:widowControl w:val="0"/>
        <w:spacing w:after="50" w:line="360" w:lineRule="auto"/>
        <w:ind w:firstLine="480" w:firstLineChars="200"/>
        <w:jc w:val="both"/>
        <w:rPr>
          <w:rFonts w:hint="eastAsia" w:ascii="Times New Roman" w:hAnsi="Times New Roman" w:eastAsia="宋体" w:cs="Times New Roman"/>
          <w:kern w:val="2"/>
          <w:sz w:val="24"/>
          <w:szCs w:val="20"/>
          <w:highlight w:val="none"/>
          <w:lang w:val="en-US" w:eastAsia="zh-CN" w:bidi="ar-SA"/>
          <w14:ligatures w14:val="none"/>
        </w:rPr>
      </w:pPr>
      <w:r>
        <w:rPr>
          <w:rFonts w:ascii="宋体" w:hAnsi="宋体" w:eastAsia="宋体" w:cs="宋体"/>
          <w:kern w:val="2"/>
          <w:sz w:val="24"/>
          <w:szCs w:val="20"/>
          <w:highlight w:val="none"/>
          <w:lang w:val="en-US" w:eastAsia="zh-CN" w:bidi="ar-SA"/>
          <w14:ligatures w14:val="none"/>
        </w:rPr>
        <w:t>为构建一体化运营体系，解决数据断层、处置断链、能力断联等信息</w:t>
      </w:r>
      <w:r>
        <w:rPr>
          <w:rFonts w:hint="eastAsia" w:ascii="宋体" w:hAnsi="宋体" w:eastAsia="宋体" w:cs="宋体"/>
          <w:kern w:val="2"/>
          <w:sz w:val="24"/>
          <w:szCs w:val="20"/>
          <w:highlight w:val="none"/>
          <w:lang w:val="en-US" w:eastAsia="zh-CN" w:bidi="ar-SA"/>
          <w14:ligatures w14:val="none"/>
        </w:rPr>
        <w:t>壁垒问题</w:t>
      </w:r>
      <w:r>
        <w:rPr>
          <w:rFonts w:ascii="宋体" w:hAnsi="宋体" w:eastAsia="宋体" w:cs="宋体"/>
          <w:kern w:val="2"/>
          <w:sz w:val="24"/>
          <w:szCs w:val="20"/>
          <w:highlight w:val="none"/>
          <w:lang w:val="en-US" w:eastAsia="zh-CN" w:bidi="ar-SA"/>
          <w14:ligatures w14:val="none"/>
        </w:rPr>
        <w:t>，需采用</w:t>
      </w:r>
      <w:r>
        <w:rPr>
          <w:rFonts w:hint="eastAsia" w:ascii="宋体" w:hAnsi="宋体" w:eastAsia="宋体" w:cs="宋体"/>
          <w:kern w:val="2"/>
          <w:sz w:val="24"/>
          <w:szCs w:val="20"/>
          <w:highlight w:val="none"/>
          <w:lang w:val="en-US" w:eastAsia="zh-CN" w:bidi="ar-SA"/>
          <w14:ligatures w14:val="none"/>
        </w:rPr>
        <w:t>服务</w:t>
      </w:r>
      <w:r>
        <w:rPr>
          <w:rFonts w:ascii="宋体" w:hAnsi="宋体" w:eastAsia="宋体" w:cs="宋体"/>
          <w:kern w:val="2"/>
          <w:sz w:val="24"/>
          <w:szCs w:val="20"/>
          <w:highlight w:val="none"/>
          <w:lang w:val="en-US" w:eastAsia="zh-CN" w:bidi="ar-SA"/>
          <w14:ligatures w14:val="none"/>
        </w:rPr>
        <w:t>平台</w:t>
      </w:r>
      <w:r>
        <w:rPr>
          <w:rFonts w:hint="eastAsia" w:ascii="宋体" w:hAnsi="宋体" w:eastAsia="宋体" w:cs="宋体"/>
          <w:kern w:val="2"/>
          <w:sz w:val="24"/>
          <w:szCs w:val="20"/>
          <w:highlight w:val="none"/>
          <w:lang w:val="en-US" w:eastAsia="zh-CN" w:bidi="ar-SA"/>
          <w14:ligatures w14:val="none"/>
        </w:rPr>
        <w:t>提供服务标准化交付</w:t>
      </w:r>
      <w:r>
        <w:rPr>
          <w:rFonts w:ascii="宋体" w:hAnsi="宋体" w:eastAsia="宋体" w:cs="宋体"/>
          <w:kern w:val="2"/>
          <w:sz w:val="24"/>
          <w:szCs w:val="20"/>
          <w:highlight w:val="none"/>
          <w:lang w:val="en-US" w:eastAsia="zh-CN" w:bidi="ar-SA"/>
          <w14:ligatures w14:val="none"/>
        </w:rPr>
        <w:t>，</w:t>
      </w:r>
      <w:r>
        <w:rPr>
          <w:rFonts w:hint="eastAsia" w:ascii="宋体" w:hAnsi="宋体" w:eastAsia="宋体" w:cs="宋体"/>
          <w:kern w:val="2"/>
          <w:sz w:val="24"/>
          <w:szCs w:val="20"/>
          <w:highlight w:val="none"/>
          <w:lang w:val="en-US" w:eastAsia="zh-CN" w:bidi="ar-SA"/>
          <w14:ligatures w14:val="none"/>
        </w:rPr>
        <w:t>须</w:t>
      </w:r>
      <w:r>
        <w:rPr>
          <w:rFonts w:ascii="宋体" w:hAnsi="宋体" w:eastAsia="宋体" w:cs="宋体"/>
          <w:kern w:val="2"/>
          <w:sz w:val="24"/>
          <w:szCs w:val="20"/>
          <w:highlight w:val="none"/>
          <w:lang w:val="en-US" w:eastAsia="zh-CN" w:bidi="ar-SA"/>
          <w14:ligatures w14:val="none"/>
        </w:rPr>
        <w:t>在平台上进行</w:t>
      </w:r>
      <w:r>
        <w:rPr>
          <w:rFonts w:hint="eastAsia" w:ascii="宋体" w:hAnsi="宋体" w:eastAsia="宋体" w:cs="宋体"/>
          <w:kern w:val="2"/>
          <w:sz w:val="24"/>
          <w:szCs w:val="20"/>
          <w:highlight w:val="none"/>
          <w:lang w:val="en-US" w:eastAsia="zh-CN" w:bidi="ar-SA"/>
          <w14:ligatures w14:val="none"/>
        </w:rPr>
        <w:t>运维任务</w:t>
      </w:r>
      <w:r>
        <w:rPr>
          <w:rFonts w:ascii="宋体" w:hAnsi="宋体" w:eastAsia="宋体" w:cs="宋体"/>
          <w:kern w:val="2"/>
          <w:sz w:val="24"/>
          <w:szCs w:val="20"/>
          <w:highlight w:val="none"/>
          <w:lang w:val="en-US" w:eastAsia="zh-CN" w:bidi="ar-SA"/>
          <w14:ligatures w14:val="none"/>
        </w:rPr>
        <w:t>配置、</w:t>
      </w:r>
      <w:r>
        <w:rPr>
          <w:rFonts w:hint="eastAsia" w:ascii="宋体" w:hAnsi="宋体" w:eastAsia="宋体" w:cs="宋体"/>
          <w:kern w:val="2"/>
          <w:sz w:val="24"/>
          <w:szCs w:val="20"/>
          <w:highlight w:val="none"/>
          <w:lang w:val="en-US" w:eastAsia="zh-CN" w:bidi="ar-SA"/>
          <w14:ligatures w14:val="none"/>
        </w:rPr>
        <w:t>安服数据</w:t>
      </w:r>
      <w:r>
        <w:rPr>
          <w:rFonts w:ascii="宋体" w:hAnsi="宋体" w:eastAsia="宋体" w:cs="宋体"/>
          <w:kern w:val="2"/>
          <w:sz w:val="24"/>
          <w:szCs w:val="20"/>
          <w:highlight w:val="none"/>
          <w:lang w:val="en-US" w:eastAsia="zh-CN" w:bidi="ar-SA"/>
          <w14:ligatures w14:val="none"/>
        </w:rPr>
        <w:t>查看、</w:t>
      </w:r>
      <w:r>
        <w:rPr>
          <w:rFonts w:hint="eastAsia" w:ascii="宋体" w:hAnsi="宋体" w:eastAsia="宋体" w:cs="宋体"/>
          <w:kern w:val="2"/>
          <w:sz w:val="24"/>
          <w:szCs w:val="20"/>
          <w:highlight w:val="none"/>
          <w:lang w:val="en-US" w:eastAsia="zh-CN" w:bidi="ar-SA"/>
          <w14:ligatures w14:val="none"/>
        </w:rPr>
        <w:t>运营</w:t>
      </w:r>
      <w:r>
        <w:rPr>
          <w:rFonts w:ascii="宋体" w:hAnsi="宋体" w:eastAsia="宋体" w:cs="宋体"/>
          <w:kern w:val="2"/>
          <w:sz w:val="24"/>
          <w:szCs w:val="20"/>
          <w:highlight w:val="none"/>
          <w:lang w:val="en-US" w:eastAsia="zh-CN" w:bidi="ar-SA"/>
          <w14:ligatures w14:val="none"/>
        </w:rPr>
        <w:t>数据处理等</w:t>
      </w:r>
      <w:r>
        <w:rPr>
          <w:rFonts w:hint="eastAsia" w:ascii="宋体" w:hAnsi="宋体" w:eastAsia="宋体" w:cs="宋体"/>
          <w:kern w:val="2"/>
          <w:sz w:val="24"/>
          <w:szCs w:val="20"/>
          <w:highlight w:val="none"/>
          <w:lang w:val="en-US" w:eastAsia="zh-CN" w:bidi="ar-SA"/>
          <w14:ligatures w14:val="none"/>
        </w:rPr>
        <w:t>服务工作。</w:t>
      </w:r>
    </w:p>
    <w:tbl>
      <w:tblPr>
        <w:tblStyle w:val="5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1642"/>
        <w:gridCol w:w="6421"/>
      </w:tblGrid>
      <w:tr w14:paraId="7EEAB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246"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9526406">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序号</w:t>
            </w:r>
          </w:p>
        </w:tc>
        <w:tc>
          <w:tcPr>
            <w:tcW w:w="9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E623F1">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指标</w:t>
            </w:r>
          </w:p>
        </w:tc>
        <w:tc>
          <w:tcPr>
            <w:tcW w:w="37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E0EDEC">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规格参数</w:t>
            </w:r>
          </w:p>
        </w:tc>
      </w:tr>
      <w:tr w14:paraId="382EE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FADB5">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1</w:t>
            </w:r>
          </w:p>
        </w:tc>
        <w:tc>
          <w:tcPr>
            <w:tcW w:w="9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FB05F9">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基本要求（提供含响应供应商盖章确认的承诺函）</w:t>
            </w:r>
          </w:p>
        </w:tc>
        <w:tc>
          <w:tcPr>
            <w:tcW w:w="37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535F98">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机架式设备，默认配置2个千兆电口，2个万兆光口，64G内存，2T硬盘存储空间，冗余电源</w:t>
            </w:r>
          </w:p>
          <w:p w14:paraId="50AF95B7">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中标后，5个工作日内提供服务平台样机进行逐项测试，如有虚假应标则废除中标资格。</w:t>
            </w:r>
          </w:p>
        </w:tc>
      </w:tr>
      <w:tr w14:paraId="710B0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0" w:hRule="atLeast"/>
        </w:trPr>
        <w:tc>
          <w:tcPr>
            <w:tcW w:w="2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51BD07">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2</w:t>
            </w:r>
          </w:p>
        </w:tc>
        <w:tc>
          <w:tcPr>
            <w:tcW w:w="9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3E05C6">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授权许可（提供含响应供应商盖章确认的承诺函）</w:t>
            </w:r>
          </w:p>
        </w:tc>
        <w:tc>
          <w:tcPr>
            <w:tcW w:w="37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A58C61">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1、漏洞扫描次数授权：无限制；</w:t>
            </w:r>
          </w:p>
          <w:p w14:paraId="146CE6E1">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2、漏洞扫描IP/域名范围授权：无限制；</w:t>
            </w:r>
          </w:p>
          <w:p w14:paraId="1C6FC13B">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3、配置基线核查次数授权：无限制；</w:t>
            </w:r>
          </w:p>
          <w:p w14:paraId="306F0A0F">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4、蜜罐威胁诱捕IP授权数：无限制；</w:t>
            </w:r>
          </w:p>
          <w:p w14:paraId="3D52A3A4">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5、黑链、DNS域名监测相关网站监测资产授权数：1000；</w:t>
            </w:r>
          </w:p>
          <w:p w14:paraId="767C8ACE">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6、提供网络流量入侵检测授权：10Gbps；</w:t>
            </w:r>
          </w:p>
          <w:p w14:paraId="71242D7C">
            <w:pPr>
              <w:bidi w:val="0"/>
              <w:spacing w:after="0" w:line="240" w:lineRule="auto"/>
              <w:rPr>
                <w:rFonts w:ascii="宋体" w:hAnsi="宋体" w:eastAsia="宋体" w:cs="Times New Roman"/>
                <w:b w:val="0"/>
                <w:color w:val="000000"/>
                <w:kern w:val="2"/>
                <w:sz w:val="24"/>
                <w:szCs w:val="21"/>
                <w:lang w:val="en-US" w:eastAsia="zh-CN" w:bidi="ar-SA"/>
                <w14:ligatures w14:val="none"/>
              </w:rPr>
            </w:pPr>
            <w:r>
              <w:rPr>
                <w:rFonts w:hint="eastAsia" w:ascii="宋体" w:hAnsi="宋体" w:eastAsia="宋体" w:cs="Times New Roman"/>
                <w:b w:val="0"/>
                <w:color w:val="000000"/>
                <w:kern w:val="2"/>
                <w:sz w:val="24"/>
                <w:szCs w:val="21"/>
                <w:lang w:val="en-US" w:eastAsia="zh-CN" w:bidi="ar-SA"/>
                <w14:ligatures w14:val="none"/>
              </w:rPr>
              <w:t>7、提供二次开发接口授权</w:t>
            </w:r>
          </w:p>
        </w:tc>
      </w:tr>
    </w:tbl>
    <w:p w14:paraId="44294BC4">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3" w:name="heading_15"/>
    </w:p>
    <w:p w14:paraId="28256D50">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r>
        <w:rPr>
          <w:rFonts w:hint="eastAsia" w:ascii="宋体" w:hAnsi="宋体" w:eastAsia="宋体" w:cs="Arial"/>
          <w:b/>
          <w:kern w:val="2"/>
          <w:sz w:val="28"/>
          <w:szCs w:val="20"/>
          <w:lang w:val="en-US" w:eastAsia="zh-CN" w:bidi="ar-SA"/>
          <w14:ligatures w14:val="none"/>
        </w:rPr>
        <w:t>2</w:t>
      </w:r>
      <w:r>
        <w:rPr>
          <w:rFonts w:ascii="宋体" w:hAnsi="宋体" w:eastAsia="宋体" w:cs="Arial"/>
          <w:b/>
          <w:kern w:val="2"/>
          <w:sz w:val="28"/>
          <w:szCs w:val="20"/>
          <w:lang w:val="en-US" w:eastAsia="zh-CN" w:bidi="ar-SA"/>
          <w14:ligatures w14:val="none"/>
        </w:rPr>
        <w:t>. 专项安全服务工具要求</w:t>
      </w:r>
      <w:bookmarkEnd w:id="13"/>
    </w:p>
    <w:p w14:paraId="0D54C7C5">
      <w:pPr>
        <w:widowControl w:val="0"/>
        <w:numPr>
          <w:ilvl w:val="0"/>
          <w:numId w:val="4"/>
        </w:numPr>
        <w:spacing w:after="0" w:line="360" w:lineRule="auto"/>
        <w:ind w:left="922"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b/>
          <w:kern w:val="2"/>
          <w:sz w:val="24"/>
          <w:szCs w:val="20"/>
          <w:lang w:val="en-US" w:eastAsia="zh-CN" w:bidi="ar-SA"/>
          <w14:ligatures w14:val="none"/>
        </w:rPr>
        <w:t>漏洞复测工具</w:t>
      </w:r>
      <w:r>
        <w:rPr>
          <w:rFonts w:ascii="Times New Roman" w:hAnsi="Times New Roman" w:eastAsia="宋体" w:cs="Times New Roman"/>
          <w:kern w:val="2"/>
          <w:sz w:val="24"/>
          <w:szCs w:val="20"/>
          <w:lang w:val="en-US" w:eastAsia="zh-CN" w:bidi="ar-SA"/>
          <w14:ligatures w14:val="none"/>
        </w:rPr>
        <w:t>：与季度漏扫引擎同源，修复完成后全量复测，出具复测确认报告，每月跟踪漏洞修复台账。</w:t>
      </w:r>
    </w:p>
    <w:p w14:paraId="63C8815D">
      <w:pPr>
        <w:widowControl w:val="0"/>
        <w:numPr>
          <w:ilvl w:val="0"/>
          <w:numId w:val="4"/>
        </w:numPr>
        <w:spacing w:after="0" w:line="360" w:lineRule="auto"/>
        <w:ind w:left="922"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b/>
          <w:kern w:val="2"/>
          <w:sz w:val="24"/>
          <w:szCs w:val="20"/>
          <w:lang w:val="en-US" w:eastAsia="zh-CN" w:bidi="ar-SA"/>
          <w14:ligatures w14:val="none"/>
        </w:rPr>
        <w:t>渗透测试工具</w:t>
      </w:r>
      <w:r>
        <w:rPr>
          <w:rFonts w:ascii="Times New Roman" w:hAnsi="Times New Roman" w:eastAsia="宋体" w:cs="Times New Roman"/>
          <w:kern w:val="2"/>
          <w:sz w:val="24"/>
          <w:szCs w:val="20"/>
          <w:lang w:val="en-US" w:eastAsia="zh-CN" w:bidi="ar-SA"/>
          <w14:ligatures w14:val="none"/>
        </w:rPr>
        <w:t>：全部为厂商自主知识产权安全工具，包含信息收集、端口扫描、溢出测试、口令爆破、Web 脚本渗透、中间人攻击、B/S/C/S 应用测试工具集，禁止使用开源未授权工具。</w:t>
      </w:r>
    </w:p>
    <w:p w14:paraId="141DBFCB">
      <w:pPr>
        <w:widowControl w:val="0"/>
        <w:spacing w:after="0" w:line="360" w:lineRule="auto"/>
        <w:ind w:firstLine="602" w:firstLineChars="200"/>
        <w:jc w:val="both"/>
        <w:outlineLvl w:val="1"/>
        <w:rPr>
          <w:rFonts w:hint="eastAsia" w:ascii="宋体" w:hAnsi="宋体" w:eastAsia="宋体" w:cs="Arial"/>
          <w:b/>
          <w:kern w:val="2"/>
          <w:sz w:val="30"/>
          <w:szCs w:val="20"/>
          <w:lang w:val="en-US" w:eastAsia="zh-CN" w:bidi="ar-SA"/>
          <w14:ligatures w14:val="none"/>
        </w:rPr>
      </w:pPr>
      <w:bookmarkStart w:id="14" w:name="heading_17"/>
      <w:r>
        <w:rPr>
          <w:rFonts w:ascii="宋体" w:hAnsi="宋体" w:eastAsia="宋体" w:cs="Arial"/>
          <w:b/>
          <w:kern w:val="2"/>
          <w:sz w:val="30"/>
          <w:szCs w:val="20"/>
          <w:lang w:val="en-US" w:eastAsia="zh-CN" w:bidi="ar-SA"/>
          <w14:ligatures w14:val="none"/>
        </w:rPr>
        <w:t>（</w:t>
      </w:r>
      <w:r>
        <w:rPr>
          <w:rFonts w:hint="eastAsia" w:ascii="宋体" w:hAnsi="宋体" w:eastAsia="宋体" w:cs="Arial"/>
          <w:b/>
          <w:kern w:val="2"/>
          <w:sz w:val="30"/>
          <w:szCs w:val="20"/>
          <w:lang w:val="en-US" w:eastAsia="zh-CN" w:bidi="ar-SA"/>
          <w14:ligatures w14:val="none"/>
        </w:rPr>
        <w:t>四</w:t>
      </w:r>
      <w:r>
        <w:rPr>
          <w:rFonts w:ascii="宋体" w:hAnsi="宋体" w:eastAsia="宋体" w:cs="Arial"/>
          <w:b/>
          <w:kern w:val="2"/>
          <w:sz w:val="30"/>
          <w:szCs w:val="20"/>
          <w:lang w:val="en-US" w:eastAsia="zh-CN" w:bidi="ar-SA"/>
          <w14:ligatures w14:val="none"/>
        </w:rPr>
        <w:t>）</w:t>
      </w:r>
      <w:r>
        <w:rPr>
          <w:rFonts w:hint="eastAsia" w:ascii="宋体" w:hAnsi="宋体" w:eastAsia="宋体" w:cs="Arial"/>
          <w:b/>
          <w:kern w:val="2"/>
          <w:sz w:val="30"/>
          <w:szCs w:val="20"/>
          <w:lang w:val="en-US" w:eastAsia="zh-CN" w:bidi="ar-SA"/>
          <w14:ligatures w14:val="none"/>
        </w:rPr>
        <w:t>实施要求</w:t>
      </w:r>
    </w:p>
    <w:bookmarkEnd w:id="14"/>
    <w:p w14:paraId="1F5D3389">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5" w:name="heading_18"/>
      <w:r>
        <w:rPr>
          <w:rFonts w:hint="eastAsia" w:ascii="宋体" w:hAnsi="宋体" w:eastAsia="宋体" w:cs="Arial"/>
          <w:b/>
          <w:kern w:val="2"/>
          <w:sz w:val="28"/>
          <w:szCs w:val="20"/>
          <w:lang w:val="en-US" w:eastAsia="zh-CN" w:bidi="ar-SA"/>
          <w14:ligatures w14:val="none"/>
        </w:rPr>
        <w:t>1.</w:t>
      </w:r>
      <w:r>
        <w:rPr>
          <w:rFonts w:ascii="宋体" w:hAnsi="宋体" w:eastAsia="宋体" w:cs="Arial"/>
          <w:b/>
          <w:kern w:val="2"/>
          <w:sz w:val="28"/>
          <w:szCs w:val="20"/>
          <w:lang w:val="en-US" w:eastAsia="zh-CN" w:bidi="ar-SA"/>
          <w14:ligatures w14:val="none"/>
        </w:rPr>
        <w:t>分模块对标实施细则</w:t>
      </w:r>
      <w:bookmarkEnd w:id="15"/>
    </w:p>
    <w:p w14:paraId="5E42A247">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6" w:name="heading_19"/>
      <w:r>
        <w:rPr>
          <w:rFonts w:ascii="宋体" w:hAnsi="宋体" w:eastAsia="宋体" w:cs="Arial"/>
          <w:b/>
          <w:kern w:val="2"/>
          <w:sz w:val="28"/>
          <w:szCs w:val="20"/>
          <w:lang w:val="en-US" w:eastAsia="zh-CN" w:bidi="ar-SA"/>
          <w14:ligatures w14:val="none"/>
        </w:rPr>
        <w:t>（1）资产及外网攻击面服务管控实施</w:t>
      </w:r>
      <w:bookmarkEnd w:id="16"/>
    </w:p>
    <w:p w14:paraId="2C2F345A">
      <w:pPr>
        <w:widowControl w:val="0"/>
        <w:numPr>
          <w:ilvl w:val="0"/>
          <w:numId w:val="5"/>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实施频次：固定每月1次常态化实施，不得合并、漏做月度服务，漏做一次月度服务本分项直接不得分；</w:t>
      </w:r>
    </w:p>
    <w:p w14:paraId="106E376B">
      <w:pPr>
        <w:widowControl w:val="0"/>
        <w:numPr>
          <w:ilvl w:val="0"/>
          <w:numId w:val="5"/>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实施范围：全覆盖校内物理主机、云主机、门户网站、子域名、校园小程序、公众号、自研APP全资产探测，完整识别端口、系统版本、框架、备案信息；联动云端外网探测，排查闲置暴露资产、高危开放端口、后台私有URL；</w:t>
      </w:r>
    </w:p>
    <w:p w14:paraId="11FDF3AC">
      <w:pPr>
        <w:widowControl w:val="0"/>
        <w:numPr>
          <w:ilvl w:val="0"/>
          <w:numId w:val="5"/>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实施动作：每月完成资产盘点、外网风险核验后，提供公网资产关停、端口封禁、后台隐藏收敛指导，协助校方完成整改落地，留存沟通及整改台账；</w:t>
      </w:r>
    </w:p>
    <w:p w14:paraId="0760399E">
      <w:pPr>
        <w:widowControl w:val="0"/>
        <w:numPr>
          <w:ilvl w:val="0"/>
          <w:numId w:val="5"/>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交付实施：每月固定出具更新资产清单、外网攻击面检测报告、暴露面收敛整改建议书，资料格式统一归档，缺一类月度资料扣1分。</w:t>
      </w:r>
    </w:p>
    <w:p w14:paraId="228AB038">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7" w:name="heading_20"/>
      <w:r>
        <w:rPr>
          <w:rFonts w:ascii="宋体" w:hAnsi="宋体" w:eastAsia="宋体" w:cs="Arial"/>
          <w:b/>
          <w:kern w:val="2"/>
          <w:sz w:val="28"/>
          <w:szCs w:val="20"/>
          <w:lang w:val="en-US" w:eastAsia="zh-CN" w:bidi="ar-SA"/>
          <w14:ligatures w14:val="none"/>
        </w:rPr>
        <w:t>（</w:t>
      </w:r>
      <w:r>
        <w:rPr>
          <w:rFonts w:hint="eastAsia" w:ascii="宋体" w:hAnsi="宋体" w:eastAsia="宋体" w:cs="Arial"/>
          <w:b/>
          <w:kern w:val="2"/>
          <w:sz w:val="28"/>
          <w:szCs w:val="20"/>
          <w:lang w:val="en-US" w:eastAsia="zh-CN" w:bidi="ar-SA"/>
          <w14:ligatures w14:val="none"/>
        </w:rPr>
        <w:t>2</w:t>
      </w:r>
      <w:r>
        <w:rPr>
          <w:rFonts w:ascii="宋体" w:hAnsi="宋体" w:eastAsia="宋体" w:cs="Arial"/>
          <w:b/>
          <w:kern w:val="2"/>
          <w:sz w:val="28"/>
          <w:szCs w:val="20"/>
          <w:lang w:val="en-US" w:eastAsia="zh-CN" w:bidi="ar-SA"/>
          <w14:ligatures w14:val="none"/>
        </w:rPr>
        <w:t>）漏洞全生命周期服务闭环实施</w:t>
      </w:r>
      <w:bookmarkEnd w:id="17"/>
    </w:p>
    <w:p w14:paraId="0B876AE7">
      <w:pPr>
        <w:widowControl w:val="0"/>
        <w:numPr>
          <w:ilvl w:val="0"/>
          <w:numId w:val="6"/>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季度漏扫实施：每季度全覆盖网络设备、服务器、数据库、中间件开展漏洞+弱口令扫描，分级标注高危/中危/低危漏洞，出具可落地加固方案，未按季度开展直接扣分；</w:t>
      </w:r>
    </w:p>
    <w:p w14:paraId="49687A55">
      <w:pPr>
        <w:widowControl w:val="0"/>
        <w:numPr>
          <w:ilvl w:val="0"/>
          <w:numId w:val="6"/>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漏洞复测实施：校方整改完毕后，中标方24小时内启动复测核验，每季度10号前按期提交盖章版漏洞修复追踪表，逾期提交视为未履约；漏洞分级实施：从攻防实战视角研判有效高危漏洞，剔除无效低危漏洞，出具优先级修复清单，减少校方整改工作量，未做分级研判酌情扣分；</w:t>
      </w:r>
    </w:p>
    <w:p w14:paraId="64096AE3">
      <w:pPr>
        <w:widowControl w:val="0"/>
        <w:numPr>
          <w:ilvl w:val="0"/>
          <w:numId w:val="6"/>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年度渗透测试实施：服务期内完成1次校内业务系统人工黑盒渗透，全程使用厂商自主知识产权工具，禁止开源工具，完工出具合规渗透测试报告，贴合评分专项服务打分要求；</w:t>
      </w:r>
    </w:p>
    <w:p w14:paraId="25EC8056">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8" w:name="heading_21"/>
      <w:r>
        <w:rPr>
          <w:rFonts w:ascii="宋体" w:hAnsi="宋体" w:eastAsia="宋体" w:cs="Arial"/>
          <w:b/>
          <w:kern w:val="2"/>
          <w:sz w:val="28"/>
          <w:szCs w:val="20"/>
          <w:lang w:val="en-US" w:eastAsia="zh-CN" w:bidi="ar-SA"/>
          <w14:ligatures w14:val="none"/>
        </w:rPr>
        <w:t>（</w:t>
      </w:r>
      <w:r>
        <w:rPr>
          <w:rFonts w:hint="eastAsia" w:ascii="宋体" w:hAnsi="宋体" w:eastAsia="宋体" w:cs="Arial"/>
          <w:b/>
          <w:kern w:val="2"/>
          <w:sz w:val="28"/>
          <w:szCs w:val="20"/>
          <w:lang w:val="en-US" w:eastAsia="zh-CN" w:bidi="ar-SA"/>
          <w14:ligatures w14:val="none"/>
        </w:rPr>
        <w:t>3</w:t>
      </w:r>
      <w:r>
        <w:rPr>
          <w:rFonts w:ascii="宋体" w:hAnsi="宋体" w:eastAsia="宋体" w:cs="Arial"/>
          <w:b/>
          <w:kern w:val="2"/>
          <w:sz w:val="28"/>
          <w:szCs w:val="20"/>
          <w:lang w:val="en-US" w:eastAsia="zh-CN" w:bidi="ar-SA"/>
          <w14:ligatures w14:val="none"/>
        </w:rPr>
        <w:t>）全域7×24威胁监测服务实施</w:t>
      </w:r>
      <w:bookmarkEnd w:id="18"/>
    </w:p>
    <w:p w14:paraId="57B58E36">
      <w:pPr>
        <w:widowControl w:val="0"/>
        <w:numPr>
          <w:ilvl w:val="0"/>
          <w:numId w:val="7"/>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部署实施：流量探针、蜜罐全部旁路镜像部署，不改动校内现有网络架构；</w:t>
      </w:r>
    </w:p>
    <w:p w14:paraId="23827C88">
      <w:pPr>
        <w:widowControl w:val="0"/>
        <w:numPr>
          <w:ilvl w:val="0"/>
          <w:numId w:val="7"/>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值守实施：全部监测能力7×24不间断运行，蜜罐零误报捕获内网横向、勒索、钓鱼攻击；</w:t>
      </w:r>
    </w:p>
    <w:p w14:paraId="7A9C3344">
      <w:pPr>
        <w:widowControl w:val="0"/>
        <w:numPr>
          <w:ilvl w:val="0"/>
          <w:numId w:val="7"/>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专项监测实施：全覆盖加密+非加密翻墙流量识别，溯源终端身份、建立翻墙行为台账；依托AI引擎自动告警降噪，联动全球威胁情报匹配恶意IP及域名；</w:t>
      </w:r>
    </w:p>
    <w:p w14:paraId="0517B31A">
      <w:pPr>
        <w:widowControl w:val="0"/>
        <w:numPr>
          <w:ilvl w:val="0"/>
          <w:numId w:val="7"/>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网站全域监测实施： 7*24网站监测服务，全天候7维度网站监测，开启企业微信/钉钉/邮件多渠道告警，工作时间30分钟研判告警，非工作时间1小时处置告警，留存告警处置台账，缺处置台账酌情扣分；</w:t>
      </w:r>
    </w:p>
    <w:p w14:paraId="234A7668">
      <w:pPr>
        <w:widowControl w:val="0"/>
        <w:numPr>
          <w:ilvl w:val="0"/>
          <w:numId w:val="7"/>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处置实施：高危威胁告警10分钟内工程师介入远程阻断，留存攻击溯源、处置日志，无处置台账酌情扣分。</w:t>
      </w:r>
    </w:p>
    <w:p w14:paraId="5529A1D4">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19" w:name="heading_22"/>
      <w:r>
        <w:rPr>
          <w:rFonts w:ascii="宋体" w:hAnsi="宋体" w:eastAsia="宋体" w:cs="Arial"/>
          <w:b/>
          <w:kern w:val="2"/>
          <w:sz w:val="28"/>
          <w:szCs w:val="20"/>
          <w:lang w:val="en-US" w:eastAsia="zh-CN" w:bidi="ar-SA"/>
          <w14:ligatures w14:val="none"/>
        </w:rPr>
        <w:t>（</w:t>
      </w:r>
      <w:r>
        <w:rPr>
          <w:rFonts w:hint="eastAsia" w:ascii="宋体" w:hAnsi="宋体" w:eastAsia="宋体" w:cs="Arial"/>
          <w:b/>
          <w:kern w:val="2"/>
          <w:sz w:val="28"/>
          <w:szCs w:val="20"/>
          <w:lang w:val="en-US" w:eastAsia="zh-CN" w:bidi="ar-SA"/>
          <w14:ligatures w14:val="none"/>
        </w:rPr>
        <w:t>4</w:t>
      </w:r>
      <w:r>
        <w:rPr>
          <w:rFonts w:ascii="宋体" w:hAnsi="宋体" w:eastAsia="宋体" w:cs="Arial"/>
          <w:b/>
          <w:kern w:val="2"/>
          <w:sz w:val="28"/>
          <w:szCs w:val="20"/>
          <w:lang w:val="en-US" w:eastAsia="zh-CN" w:bidi="ar-SA"/>
          <w14:ligatures w14:val="none"/>
        </w:rPr>
        <w:t>）平台部署+专项安全服务实施</w:t>
      </w:r>
      <w:bookmarkEnd w:id="19"/>
    </w:p>
    <w:p w14:paraId="76E68486">
      <w:pPr>
        <w:widowControl w:val="0"/>
        <w:numPr>
          <w:ilvl w:val="0"/>
          <w:numId w:val="8"/>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一体化平台实施：合同签订15日历天内完成校内纯本地私有化部署，数据不出校园、不开通云端托管，打通资产、漏洞、威胁、处置全模块数据联动，开放校方管理员运维权限；</w:t>
      </w:r>
    </w:p>
    <w:p w14:paraId="7C6E2F2B">
      <w:pPr>
        <w:widowControl w:val="0"/>
        <w:numPr>
          <w:ilvl w:val="0"/>
          <w:numId w:val="8"/>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等保测评实施：完成1套业务系统二级等保全流程测评，出具官方认可测评初稿报告，全程配合校方整改、网安备案，完成闭环交付；</w:t>
      </w:r>
    </w:p>
    <w:p w14:paraId="75B4BCD6">
      <w:pPr>
        <w:widowControl w:val="0"/>
        <w:numPr>
          <w:ilvl w:val="0"/>
          <w:numId w:val="8"/>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重保应急实施：上级检查、重大节假日、攻防重保期间按需到校驻场；重大安全事件2小时内人员到场溯源、阻断、恢复业务，出具事后复盘报告。</w:t>
      </w:r>
      <w:bookmarkStart w:id="20" w:name="heading_23"/>
    </w:p>
    <w:p w14:paraId="177F40BA">
      <w:pPr>
        <w:numPr>
          <w:ilvl w:val="0"/>
          <w:numId w:val="0"/>
        </w:numPr>
        <w:ind w:left="480" w:leftChars="0"/>
        <w:rPr>
          <w:rFonts w:hint="eastAsia" w:ascii="宋体" w:hAnsi="宋体" w:eastAsia="宋体" w:cs="Arial"/>
          <w:b/>
          <w:kern w:val="2"/>
          <w:sz w:val="28"/>
          <w:szCs w:val="20"/>
          <w:lang w:val="en-US" w:eastAsia="zh-CN" w:bidi="ar-SA"/>
          <w14:ligatures w14:val="none"/>
        </w:rPr>
      </w:pPr>
    </w:p>
    <w:p w14:paraId="1FFB0707">
      <w:pPr>
        <w:numPr>
          <w:ilvl w:val="0"/>
          <w:numId w:val="0"/>
        </w:numPr>
        <w:ind w:left="480" w:leftChars="0"/>
        <w:rPr>
          <w:rFonts w:hint="eastAsia" w:ascii="宋体" w:hAnsi="宋体" w:eastAsia="宋体" w:cs="Arial"/>
          <w:b/>
          <w:kern w:val="2"/>
          <w:sz w:val="28"/>
          <w:szCs w:val="20"/>
          <w:lang w:val="en-US" w:eastAsia="zh-CN" w:bidi="ar-SA"/>
          <w14:ligatures w14:val="none"/>
        </w:rPr>
      </w:pPr>
      <w:r>
        <w:rPr>
          <w:rFonts w:hint="eastAsia" w:ascii="宋体" w:hAnsi="宋体" w:eastAsia="宋体" w:cs="Arial"/>
          <w:b/>
          <w:kern w:val="2"/>
          <w:sz w:val="28"/>
          <w:szCs w:val="20"/>
          <w:lang w:val="en-US" w:eastAsia="zh-CN" w:bidi="ar-SA"/>
          <w14:ligatures w14:val="none"/>
        </w:rPr>
        <w:t>2.</w:t>
      </w:r>
      <w:r>
        <w:rPr>
          <w:rFonts w:ascii="宋体" w:hAnsi="宋体" w:eastAsia="宋体" w:cs="Arial"/>
          <w:b/>
          <w:kern w:val="2"/>
          <w:sz w:val="28"/>
          <w:szCs w:val="20"/>
          <w:lang w:val="en-US" w:eastAsia="zh-CN" w:bidi="ar-SA"/>
          <w14:ligatures w14:val="none"/>
        </w:rPr>
        <w:t>全周期交付实施管控</w:t>
      </w:r>
      <w:bookmarkEnd w:id="20"/>
    </w:p>
    <w:p w14:paraId="740EF94D">
      <w:pPr>
        <w:widowControl w:val="0"/>
        <w:numPr>
          <w:ilvl w:val="0"/>
          <w:numId w:val="9"/>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月度交付：全域资产更新清单、外网攻击面检测报告、暴露面收敛整改建议书；</w:t>
      </w:r>
    </w:p>
    <w:p w14:paraId="28587AA3">
      <w:pPr>
        <w:widowControl w:val="0"/>
        <w:numPr>
          <w:ilvl w:val="0"/>
          <w:numId w:val="9"/>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季度交付：全量漏洞扫描报告、漏洞修复追踪表、漏洞优先级修复建议书；</w:t>
      </w:r>
    </w:p>
    <w:p w14:paraId="36E03516">
      <w:pPr>
        <w:widowControl w:val="0"/>
        <w:numPr>
          <w:ilvl w:val="0"/>
          <w:numId w:val="9"/>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常态化交付：每日威胁告警台账、漏洞无效化处置单、翻墙行为溯源台账；</w:t>
      </w:r>
    </w:p>
    <w:p w14:paraId="61446291">
      <w:pPr>
        <w:widowControl w:val="0"/>
        <w:numPr>
          <w:ilvl w:val="0"/>
          <w:numId w:val="9"/>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年度交付：人工渗透测试报告、二级等保测评及备案全套资料；</w:t>
      </w:r>
    </w:p>
    <w:p w14:paraId="4F2F4370">
      <w:pPr>
        <w:widowControl w:val="0"/>
        <w:numPr>
          <w:ilvl w:val="0"/>
          <w:numId w:val="9"/>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应急交付：重保值守签到表、安全事件处置报告、整改复盘文档。</w:t>
      </w:r>
    </w:p>
    <w:p w14:paraId="2A4DA4A1">
      <w:pPr>
        <w:widowControl w:val="0"/>
        <w:numPr>
          <w:ilvl w:val="0"/>
          <w:numId w:val="0"/>
        </w:numPr>
        <w:spacing w:after="0" w:line="360" w:lineRule="auto"/>
        <w:ind w:left="480" w:leftChars="0" w:firstLine="480" w:firstLineChars="200"/>
        <w:jc w:val="both"/>
        <w:rPr>
          <w:rFonts w:hint="eastAsia" w:ascii="Times New Roman" w:hAnsi="Times New Roman" w:eastAsia="宋体" w:cs="Times New Roman"/>
          <w:kern w:val="2"/>
          <w:sz w:val="24"/>
          <w:szCs w:val="20"/>
          <w:lang w:val="en-US" w:eastAsia="zh-CN" w:bidi="ar-SA"/>
          <w14:ligatures w14:val="none"/>
        </w:rPr>
      </w:pPr>
    </w:p>
    <w:p w14:paraId="313AD2DF">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21" w:name="heading_24"/>
      <w:r>
        <w:rPr>
          <w:rFonts w:hint="eastAsia" w:ascii="宋体" w:hAnsi="宋体" w:eastAsia="宋体" w:cs="Arial"/>
          <w:b/>
          <w:kern w:val="2"/>
          <w:sz w:val="28"/>
          <w:szCs w:val="20"/>
          <w:lang w:val="en-US" w:eastAsia="zh-CN" w:bidi="ar-SA"/>
          <w14:ligatures w14:val="none"/>
        </w:rPr>
        <w:t>3.</w:t>
      </w:r>
      <w:r>
        <w:rPr>
          <w:rFonts w:ascii="宋体" w:hAnsi="宋体" w:eastAsia="宋体" w:cs="Arial"/>
          <w:b/>
          <w:kern w:val="2"/>
          <w:sz w:val="28"/>
          <w:szCs w:val="20"/>
          <w:lang w:val="en-US" w:eastAsia="zh-CN" w:bidi="ar-SA"/>
          <w14:ligatures w14:val="none"/>
        </w:rPr>
        <w:t>实施人员与SLA响应实施要求</w:t>
      </w:r>
      <w:bookmarkEnd w:id="21"/>
    </w:p>
    <w:p w14:paraId="422067A4">
      <w:pPr>
        <w:widowControl w:val="0"/>
        <w:numPr>
          <w:ilvl w:val="0"/>
          <w:numId w:val="10"/>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实施人员固定：专属团队定岗服务，包含运营负责人、资产漏洞工程师、威胁研判工程师、渗透工程师、</w:t>
      </w:r>
      <w:r>
        <w:rPr>
          <w:rFonts w:hint="eastAsia" w:ascii="Times New Roman" w:hAnsi="Times New Roman" w:eastAsia="宋体" w:cs="Times New Roman"/>
          <w:kern w:val="2"/>
          <w:sz w:val="24"/>
          <w:szCs w:val="20"/>
          <w:lang w:val="en-US" w:eastAsia="zh-CN" w:bidi="ar-SA"/>
          <w14:ligatures w14:val="none"/>
        </w:rPr>
        <w:t>重保</w:t>
      </w:r>
      <w:r>
        <w:rPr>
          <w:rFonts w:ascii="Times New Roman" w:hAnsi="Times New Roman" w:eastAsia="宋体" w:cs="Times New Roman"/>
          <w:kern w:val="2"/>
          <w:sz w:val="24"/>
          <w:szCs w:val="20"/>
          <w:lang w:val="en-US" w:eastAsia="zh-CN" w:bidi="ar-SA"/>
          <w14:ligatures w14:val="none"/>
        </w:rPr>
        <w:t>应急专家，人员持证+社保齐全，不得外包借用；</w:t>
      </w:r>
    </w:p>
    <w:p w14:paraId="588E4DDC">
      <w:pPr>
        <w:widowControl w:val="0"/>
        <w:numPr>
          <w:ilvl w:val="0"/>
          <w:numId w:val="10"/>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分级响应实施：网站告警5分钟推送、工作时段30分钟远程研判；高危流量/主机告警10分钟介入；一般故障24小时远程修复、硬件故障48小时到场；重大安全事件2小时到校处置；</w:t>
      </w:r>
    </w:p>
    <w:p w14:paraId="3F1E17EF">
      <w:pPr>
        <w:widowControl w:val="0"/>
        <w:numPr>
          <w:ilvl w:val="0"/>
          <w:numId w:val="10"/>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人员更换要求：校方提出人员能力异议，中标方5个工作日内更换同等资质人员，不得影响服务进度。</w:t>
      </w:r>
    </w:p>
    <w:p w14:paraId="05E03FAB">
      <w:pPr>
        <w:widowControl w:val="0"/>
        <w:numPr>
          <w:ilvl w:val="0"/>
          <w:numId w:val="0"/>
        </w:numPr>
        <w:spacing w:after="0" w:line="360" w:lineRule="auto"/>
        <w:ind w:left="480" w:leftChars="0" w:firstLine="480" w:firstLineChars="200"/>
        <w:jc w:val="both"/>
        <w:rPr>
          <w:rFonts w:hint="eastAsia" w:ascii="Times New Roman" w:hAnsi="Times New Roman" w:eastAsia="宋体" w:cs="Times New Roman"/>
          <w:kern w:val="2"/>
          <w:sz w:val="24"/>
          <w:szCs w:val="20"/>
          <w:lang w:val="en-US" w:eastAsia="zh-CN" w:bidi="ar-SA"/>
          <w14:ligatures w14:val="none"/>
        </w:rPr>
      </w:pPr>
    </w:p>
    <w:p w14:paraId="6AE993F4">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22" w:name="heading_25"/>
      <w:r>
        <w:rPr>
          <w:rFonts w:hint="eastAsia" w:ascii="宋体" w:hAnsi="宋体" w:eastAsia="宋体" w:cs="Arial"/>
          <w:b/>
          <w:kern w:val="2"/>
          <w:sz w:val="28"/>
          <w:szCs w:val="20"/>
          <w:lang w:val="en-US" w:eastAsia="zh-CN" w:bidi="ar-SA"/>
          <w14:ligatures w14:val="none"/>
        </w:rPr>
        <w:t>4.</w:t>
      </w:r>
      <w:r>
        <w:rPr>
          <w:rFonts w:ascii="宋体" w:hAnsi="宋体" w:eastAsia="宋体" w:cs="Arial"/>
          <w:b/>
          <w:kern w:val="2"/>
          <w:sz w:val="28"/>
          <w:szCs w:val="20"/>
          <w:lang w:val="en-US" w:eastAsia="zh-CN" w:bidi="ar-SA"/>
          <w14:ligatures w14:val="none"/>
        </w:rPr>
        <w:t>实施验收合规要求</w:t>
      </w:r>
      <w:bookmarkEnd w:id="22"/>
    </w:p>
    <w:p w14:paraId="28A04FA1">
      <w:pPr>
        <w:widowControl w:val="0"/>
        <w:numPr>
          <w:ilvl w:val="0"/>
          <w:numId w:val="11"/>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所有实施动作、交付资料严格对标服务清单、项目实施方案内容，逐条核验履约；</w:t>
      </w:r>
    </w:p>
    <w:p w14:paraId="07075808">
      <w:pPr>
        <w:widowControl w:val="0"/>
        <w:numPr>
          <w:ilvl w:val="0"/>
          <w:numId w:val="11"/>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实施全过程遵守校内保密管理规定，所有校园数据不得外泄，服务到期无条件删除校内备份数据；</w:t>
      </w:r>
    </w:p>
    <w:p w14:paraId="527D9A3E">
      <w:pPr>
        <w:widowControl w:val="0"/>
        <w:numPr>
          <w:ilvl w:val="0"/>
          <w:numId w:val="11"/>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平台、探针、蜜罐实施部署后，免费完成库版本每日升级，服务期内无额外授权费用。</w:t>
      </w:r>
      <w:bookmarkStart w:id="23" w:name="heading_26"/>
    </w:p>
    <w:p w14:paraId="537751D9">
      <w:pPr>
        <w:numPr>
          <w:ilvl w:val="0"/>
          <w:numId w:val="0"/>
        </w:numPr>
        <w:ind w:left="480" w:leftChars="0"/>
        <w:rPr>
          <w:rFonts w:hint="eastAsia" w:ascii="宋体" w:hAnsi="宋体" w:eastAsia="宋体" w:cs="Arial"/>
          <w:b/>
          <w:kern w:val="2"/>
          <w:sz w:val="30"/>
          <w:szCs w:val="20"/>
          <w:lang w:val="en-US" w:eastAsia="zh-CN" w:bidi="ar-SA"/>
          <w14:ligatures w14:val="none"/>
        </w:rPr>
      </w:pPr>
      <w:r>
        <w:rPr>
          <w:rFonts w:ascii="宋体" w:hAnsi="宋体" w:eastAsia="宋体" w:cs="Arial"/>
          <w:b/>
          <w:kern w:val="2"/>
          <w:sz w:val="30"/>
          <w:szCs w:val="20"/>
          <w:lang w:val="en-US" w:eastAsia="zh-CN" w:bidi="ar-SA"/>
          <w14:ligatures w14:val="none"/>
        </w:rPr>
        <w:t>（</w:t>
      </w:r>
      <w:r>
        <w:rPr>
          <w:rFonts w:hint="eastAsia" w:ascii="宋体" w:hAnsi="宋体" w:eastAsia="宋体" w:cs="Arial"/>
          <w:b/>
          <w:kern w:val="2"/>
          <w:sz w:val="30"/>
          <w:szCs w:val="20"/>
          <w:lang w:val="en-US" w:eastAsia="zh-CN" w:bidi="ar-SA"/>
          <w14:ligatures w14:val="none"/>
        </w:rPr>
        <w:t>五</w:t>
      </w:r>
      <w:r>
        <w:rPr>
          <w:rFonts w:ascii="宋体" w:hAnsi="宋体" w:eastAsia="宋体" w:cs="Arial"/>
          <w:b/>
          <w:kern w:val="2"/>
          <w:sz w:val="30"/>
          <w:szCs w:val="20"/>
          <w:lang w:val="en-US" w:eastAsia="zh-CN" w:bidi="ar-SA"/>
          <w14:ligatures w14:val="none"/>
        </w:rPr>
        <w:t>）项目团队人员配置要求</w:t>
      </w:r>
      <w:bookmarkEnd w:id="23"/>
    </w:p>
    <w:p w14:paraId="3E837D96">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r>
        <w:rPr>
          <w:rFonts w:hint="eastAsia" w:ascii="宋体" w:hAnsi="宋体" w:eastAsia="宋体" w:cs="Arial"/>
          <w:b/>
          <w:kern w:val="2"/>
          <w:sz w:val="28"/>
          <w:szCs w:val="20"/>
          <w:lang w:val="en-US" w:eastAsia="zh-CN" w:bidi="ar-SA"/>
          <w14:ligatures w14:val="none"/>
        </w:rPr>
        <w:t>1.</w:t>
      </w:r>
      <w:r>
        <w:rPr>
          <w:rFonts w:ascii="宋体" w:hAnsi="宋体" w:eastAsia="宋体" w:cs="Arial"/>
          <w:b/>
          <w:kern w:val="2"/>
          <w:sz w:val="28"/>
          <w:szCs w:val="20"/>
          <w:lang w:val="en-US" w:eastAsia="zh-CN" w:bidi="ar-SA"/>
          <w14:ligatures w14:val="none"/>
        </w:rPr>
        <w:t>项目专属服务团队配置</w:t>
      </w:r>
    </w:p>
    <w:p w14:paraId="0BAE1F60">
      <w:pPr>
        <w:spacing w:after="0" w:line="360" w:lineRule="auto"/>
        <w:ind w:firstLine="480" w:firstLineChars="200"/>
        <w:rPr>
          <w:rFonts w:hint="eastAsia" w:ascii="Times New Roman" w:hAnsi="Times New Roman" w:eastAsia="宋体" w:cs="Times New Roman"/>
          <w:sz w:val="24"/>
          <w:szCs w:val="20"/>
          <w14:ligatures w14:val="none"/>
        </w:rPr>
      </w:pPr>
      <w:r>
        <w:rPr>
          <w:rFonts w:ascii="Times New Roman" w:hAnsi="Times New Roman" w:eastAsia="宋体" w:cs="Times New Roman"/>
          <w:sz w:val="24"/>
          <w:szCs w:val="20"/>
          <w14:ligatures w14:val="none"/>
        </w:rPr>
        <w:t>投标方须为本项目配置专属远程技术支撑团队，团队人员为本单位正式在职人员，不得外包、临时借用，人员固定服务本项目，无特殊情况不得更换：</w:t>
      </w:r>
    </w:p>
    <w:p w14:paraId="503C674B">
      <w:pPr>
        <w:widowControl w:val="0"/>
        <w:numPr>
          <w:ilvl w:val="0"/>
          <w:numId w:val="12"/>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安全运营总负责人 1 名：统筹全部月度、季度、年度安全服务交付、项目进度管控；</w:t>
      </w:r>
    </w:p>
    <w:p w14:paraId="04139F3F">
      <w:pPr>
        <w:widowControl w:val="0"/>
        <w:numPr>
          <w:ilvl w:val="0"/>
          <w:numId w:val="12"/>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 xml:space="preserve">漏洞与资产分析工程师 </w:t>
      </w:r>
      <w:r>
        <w:rPr>
          <w:rFonts w:hint="eastAsia" w:ascii="Times New Roman" w:hAnsi="Times New Roman" w:eastAsia="宋体" w:cs="Times New Roman"/>
          <w:kern w:val="2"/>
          <w:sz w:val="24"/>
          <w:szCs w:val="20"/>
          <w:lang w:val="en-US" w:eastAsia="zh-CN" w:bidi="ar-SA"/>
          <w14:ligatures w14:val="none"/>
        </w:rPr>
        <w:t>1</w:t>
      </w:r>
      <w:r>
        <w:rPr>
          <w:rFonts w:ascii="Times New Roman" w:hAnsi="Times New Roman" w:eastAsia="宋体" w:cs="Times New Roman"/>
          <w:kern w:val="2"/>
          <w:sz w:val="24"/>
          <w:szCs w:val="20"/>
          <w:lang w:val="en-US" w:eastAsia="zh-CN" w:bidi="ar-SA"/>
          <w14:ligatures w14:val="none"/>
        </w:rPr>
        <w:t xml:space="preserve"> 名：负责月度资产测绘、季度漏洞扫描、漏洞复测、漏洞</w:t>
      </w:r>
      <w:r>
        <w:rPr>
          <w:rFonts w:hint="eastAsia" w:ascii="Times New Roman" w:hAnsi="Times New Roman" w:eastAsia="宋体" w:cs="Times New Roman"/>
          <w:kern w:val="2"/>
          <w:sz w:val="24"/>
          <w:szCs w:val="20"/>
          <w:lang w:val="en-US" w:eastAsia="zh-CN" w:bidi="ar-SA"/>
          <w14:ligatures w14:val="none"/>
        </w:rPr>
        <w:t>修复建议</w:t>
      </w:r>
      <w:r>
        <w:rPr>
          <w:rFonts w:ascii="Times New Roman" w:hAnsi="Times New Roman" w:eastAsia="宋体" w:cs="Times New Roman"/>
          <w:kern w:val="2"/>
          <w:sz w:val="24"/>
          <w:szCs w:val="20"/>
          <w:lang w:val="en-US" w:eastAsia="zh-CN" w:bidi="ar-SA"/>
          <w14:ligatures w14:val="none"/>
        </w:rPr>
        <w:t>；</w:t>
      </w:r>
    </w:p>
    <w:p w14:paraId="3A59E09A">
      <w:pPr>
        <w:widowControl w:val="0"/>
        <w:numPr>
          <w:ilvl w:val="0"/>
          <w:numId w:val="12"/>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 xml:space="preserve">威胁研判工程师 </w:t>
      </w:r>
      <w:r>
        <w:rPr>
          <w:rFonts w:hint="eastAsia" w:ascii="Times New Roman" w:hAnsi="Times New Roman" w:eastAsia="宋体" w:cs="Times New Roman"/>
          <w:kern w:val="2"/>
          <w:sz w:val="24"/>
          <w:szCs w:val="20"/>
          <w:lang w:val="en-US" w:eastAsia="zh-CN" w:bidi="ar-SA"/>
          <w14:ligatures w14:val="none"/>
        </w:rPr>
        <w:t>1</w:t>
      </w:r>
      <w:r>
        <w:rPr>
          <w:rFonts w:ascii="Times New Roman" w:hAnsi="Times New Roman" w:eastAsia="宋体" w:cs="Times New Roman"/>
          <w:kern w:val="2"/>
          <w:sz w:val="24"/>
          <w:szCs w:val="20"/>
          <w:lang w:val="en-US" w:eastAsia="zh-CN" w:bidi="ar-SA"/>
          <w14:ligatures w14:val="none"/>
        </w:rPr>
        <w:t>名：负责蜜罐、流量探针 告警 AI 研判、威胁情报分析、翻墙行为溯源；</w:t>
      </w:r>
    </w:p>
    <w:p w14:paraId="6488DC25">
      <w:pPr>
        <w:widowControl w:val="0"/>
        <w:numPr>
          <w:ilvl w:val="0"/>
          <w:numId w:val="12"/>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 xml:space="preserve">渗透测试工程师 </w:t>
      </w:r>
      <w:r>
        <w:rPr>
          <w:rFonts w:hint="eastAsia" w:ascii="Times New Roman" w:hAnsi="Times New Roman" w:eastAsia="宋体" w:cs="Times New Roman"/>
          <w:kern w:val="2"/>
          <w:sz w:val="24"/>
          <w:szCs w:val="20"/>
          <w:lang w:val="en-US" w:eastAsia="zh-CN" w:bidi="ar-SA"/>
          <w14:ligatures w14:val="none"/>
        </w:rPr>
        <w:t>1</w:t>
      </w:r>
      <w:r>
        <w:rPr>
          <w:rFonts w:ascii="Times New Roman" w:hAnsi="Times New Roman" w:eastAsia="宋体" w:cs="Times New Roman"/>
          <w:kern w:val="2"/>
          <w:sz w:val="24"/>
          <w:szCs w:val="20"/>
          <w:lang w:val="en-US" w:eastAsia="zh-CN" w:bidi="ar-SA"/>
          <w14:ligatures w14:val="none"/>
        </w:rPr>
        <w:t>名：负责年度人工渗透测试工作；</w:t>
      </w:r>
    </w:p>
    <w:p w14:paraId="2197613D">
      <w:pPr>
        <w:widowControl w:val="0"/>
        <w:numPr>
          <w:ilvl w:val="0"/>
          <w:numId w:val="12"/>
        </w:numPr>
        <w:spacing w:after="0" w:line="360" w:lineRule="auto"/>
        <w:ind w:left="920" w:hanging="440" w:firstLineChars="0"/>
        <w:jc w:val="both"/>
        <w:rPr>
          <w:rFonts w:ascii="Times New Roman" w:hAnsi="Times New Roman" w:eastAsia="宋体" w:cs="Times New Roman"/>
          <w:kern w:val="2"/>
          <w:sz w:val="24"/>
          <w:szCs w:val="20"/>
          <w:lang w:val="en-US" w:eastAsia="zh-CN" w:bidi="ar-SA"/>
          <w14:ligatures w14:val="none"/>
        </w:rPr>
      </w:pPr>
      <w:r>
        <w:rPr>
          <w:rFonts w:hint="eastAsia" w:ascii="Times New Roman" w:hAnsi="Times New Roman" w:eastAsia="宋体" w:cs="Times New Roman"/>
          <w:kern w:val="2"/>
          <w:sz w:val="24"/>
          <w:szCs w:val="20"/>
          <w:lang w:val="en-US" w:eastAsia="zh-CN" w:bidi="ar-SA"/>
          <w14:ligatures w14:val="none"/>
        </w:rPr>
        <w:t>重保</w:t>
      </w:r>
      <w:r>
        <w:rPr>
          <w:rFonts w:ascii="Times New Roman" w:hAnsi="Times New Roman" w:eastAsia="宋体" w:cs="Times New Roman"/>
          <w:kern w:val="2"/>
          <w:sz w:val="24"/>
          <w:szCs w:val="20"/>
          <w:lang w:val="en-US" w:eastAsia="zh-CN" w:bidi="ar-SA"/>
          <w14:ligatures w14:val="none"/>
        </w:rPr>
        <w:t>应急安全专家</w:t>
      </w:r>
      <w:r>
        <w:rPr>
          <w:rFonts w:hint="eastAsia" w:ascii="Times New Roman" w:hAnsi="Times New Roman" w:eastAsia="宋体" w:cs="Times New Roman"/>
          <w:kern w:val="2"/>
          <w:sz w:val="24"/>
          <w:szCs w:val="20"/>
          <w:lang w:val="en-US" w:eastAsia="zh-CN" w:bidi="ar-SA"/>
          <w14:ligatures w14:val="none"/>
        </w:rPr>
        <w:t>1</w:t>
      </w:r>
      <w:r>
        <w:rPr>
          <w:rFonts w:ascii="Times New Roman" w:hAnsi="Times New Roman" w:eastAsia="宋体" w:cs="Times New Roman"/>
          <w:kern w:val="2"/>
          <w:sz w:val="24"/>
          <w:szCs w:val="20"/>
          <w:lang w:val="en-US" w:eastAsia="zh-CN" w:bidi="ar-SA"/>
          <w14:ligatures w14:val="none"/>
        </w:rPr>
        <w:t xml:space="preserve"> 名：重保、突发网络安全事件现场处置支撑。</w:t>
      </w:r>
    </w:p>
    <w:p w14:paraId="70CA7406">
      <w:pPr>
        <w:widowControl w:val="0"/>
        <w:spacing w:after="0" w:line="360" w:lineRule="auto"/>
        <w:ind w:firstLine="562" w:firstLineChars="200"/>
        <w:jc w:val="both"/>
        <w:outlineLvl w:val="2"/>
        <w:rPr>
          <w:rFonts w:hint="eastAsia" w:ascii="宋体" w:hAnsi="宋体" w:eastAsia="宋体" w:cs="Arial"/>
          <w:b/>
          <w:kern w:val="2"/>
          <w:sz w:val="28"/>
          <w:szCs w:val="20"/>
          <w:lang w:val="en-US" w:eastAsia="zh-CN" w:bidi="ar-SA"/>
          <w14:ligatures w14:val="none"/>
        </w:rPr>
      </w:pPr>
      <w:bookmarkStart w:id="24" w:name="heading_28"/>
      <w:r>
        <w:rPr>
          <w:rFonts w:hint="eastAsia" w:ascii="宋体" w:hAnsi="宋体" w:eastAsia="宋体" w:cs="Arial"/>
          <w:b/>
          <w:kern w:val="2"/>
          <w:sz w:val="28"/>
          <w:szCs w:val="20"/>
          <w:lang w:val="en-US" w:eastAsia="zh-CN" w:bidi="ar-SA"/>
          <w14:ligatures w14:val="none"/>
        </w:rPr>
        <w:t>2.</w:t>
      </w:r>
      <w:r>
        <w:rPr>
          <w:rFonts w:ascii="宋体" w:hAnsi="宋体" w:eastAsia="宋体" w:cs="Arial"/>
          <w:b/>
          <w:kern w:val="2"/>
          <w:sz w:val="28"/>
          <w:szCs w:val="20"/>
          <w:lang w:val="en-US" w:eastAsia="zh-CN" w:bidi="ar-SA"/>
          <w14:ligatures w14:val="none"/>
        </w:rPr>
        <w:t>人员工作要求</w:t>
      </w:r>
      <w:bookmarkEnd w:id="24"/>
    </w:p>
    <w:p w14:paraId="1A959E49">
      <w:pPr>
        <w:widowControl w:val="0"/>
        <w:numPr>
          <w:ilvl w:val="0"/>
          <w:numId w:val="1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全体团队 7×24 远程在线响应，按需到校开展渗透、等保、重大应急处置；</w:t>
      </w:r>
    </w:p>
    <w:p w14:paraId="5411B27F">
      <w:pPr>
        <w:widowControl w:val="0"/>
        <w:numPr>
          <w:ilvl w:val="0"/>
          <w:numId w:val="1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按时出具月度、季度、年度全部安全服务报告；</w:t>
      </w:r>
    </w:p>
    <w:p w14:paraId="7C394434">
      <w:pPr>
        <w:widowControl w:val="0"/>
        <w:numPr>
          <w:ilvl w:val="0"/>
          <w:numId w:val="13"/>
        </w:numPr>
        <w:spacing w:after="0" w:line="360" w:lineRule="auto"/>
        <w:ind w:left="920" w:hanging="440" w:firstLineChars="0"/>
        <w:jc w:val="both"/>
        <w:rPr>
          <w:rFonts w:hint="eastAsia" w:ascii="Times New Roman" w:hAnsi="Times New Roman" w:eastAsia="宋体" w:cs="Times New Roman"/>
          <w:kern w:val="2"/>
          <w:sz w:val="24"/>
          <w:szCs w:val="20"/>
          <w:lang w:val="en-US" w:eastAsia="zh-CN" w:bidi="ar-SA"/>
          <w14:ligatures w14:val="none"/>
        </w:rPr>
      </w:pPr>
      <w:r>
        <w:rPr>
          <w:rFonts w:ascii="Times New Roman" w:hAnsi="Times New Roman" w:eastAsia="宋体" w:cs="Times New Roman"/>
          <w:kern w:val="2"/>
          <w:sz w:val="24"/>
          <w:szCs w:val="20"/>
          <w:lang w:val="en-US" w:eastAsia="zh-CN" w:bidi="ar-SA"/>
          <w14:ligatures w14:val="none"/>
        </w:rPr>
        <w:t>采购人对人员专业能力提出异议的，中标方须 5 个工作日内更换同等资质人员。</w:t>
      </w:r>
    </w:p>
    <w:p w14:paraId="2F1B7D4B">
      <w:pPr>
        <w:numPr>
          <w:ilvl w:val="0"/>
          <w:numId w:val="2"/>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服务期限：</w:t>
      </w:r>
      <w:r>
        <w:rPr>
          <w:rFonts w:hint="eastAsia" w:ascii="宋体" w:hAnsi="宋体"/>
          <w:b w:val="0"/>
          <w:bCs/>
          <w:color w:val="000000"/>
          <w:kern w:val="0"/>
          <w:sz w:val="28"/>
          <w:szCs w:val="28"/>
          <w:lang w:val="en-US" w:eastAsia="zh-CN"/>
        </w:rPr>
        <w:t>合同签订之日起 12 个月。</w:t>
      </w:r>
    </w:p>
    <w:p w14:paraId="58B55EDE">
      <w:pPr>
        <w:numPr>
          <w:ilvl w:val="0"/>
          <w:numId w:val="2"/>
        </w:numPr>
        <w:tabs>
          <w:tab w:val="left" w:pos="709"/>
          <w:tab w:val="left" w:pos="993"/>
          <w:tab w:val="left" w:pos="1418"/>
        </w:tabs>
        <w:ind w:left="0" w:leftChars="0" w:firstLine="0" w:firstLineChars="0"/>
        <w:rPr>
          <w:rFonts w:hint="eastAsia" w:ascii="宋体" w:hAnsi="宋体"/>
          <w:b w:val="0"/>
          <w:bCs/>
          <w:color w:val="000000"/>
          <w:kern w:val="0"/>
          <w:sz w:val="28"/>
          <w:szCs w:val="28"/>
        </w:rPr>
      </w:pPr>
      <w:r>
        <w:rPr>
          <w:rFonts w:hint="eastAsia" w:ascii="宋体" w:hAnsi="宋体"/>
          <w:b/>
          <w:color w:val="000000"/>
          <w:kern w:val="0"/>
          <w:sz w:val="28"/>
          <w:szCs w:val="28"/>
          <w:lang w:val="en-US" w:eastAsia="zh-CN"/>
        </w:rPr>
        <w:t>采购项目交付或执行的地点：</w:t>
      </w:r>
      <w:r>
        <w:rPr>
          <w:rFonts w:hint="eastAsia" w:ascii="宋体" w:hAnsi="宋体"/>
          <w:b w:val="0"/>
          <w:bCs/>
          <w:color w:val="000000"/>
          <w:kern w:val="0"/>
          <w:sz w:val="28"/>
          <w:szCs w:val="28"/>
        </w:rPr>
        <w:t>工具部署、现场测评、渗透测试、重大应急处置均在江苏信息职业技术学院校内完成；日常监测、分析、研判采用远程服务模式</w:t>
      </w:r>
      <w:r>
        <w:rPr>
          <w:rFonts w:hint="eastAsia" w:ascii="宋体" w:hAnsi="宋体"/>
          <w:b w:val="0"/>
          <w:bCs/>
          <w:color w:val="000000"/>
          <w:kern w:val="0"/>
          <w:sz w:val="28"/>
          <w:szCs w:val="28"/>
          <w:lang w:eastAsia="zh-CN"/>
        </w:rPr>
        <w:t>。</w:t>
      </w:r>
    </w:p>
    <w:p w14:paraId="45CFA506">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质保与运维期</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一体化安服平台、流量探针、蜜罐配套工具全年免费升级，攻击特征库、威胁情报库每日自动更新，无额外授权费用；服务期内工具故障 24 小时内远程修复，硬件故障 48 小时到场处理。</w:t>
      </w:r>
    </w:p>
    <w:p w14:paraId="1E2F38CD">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安装调试</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中标方承担平台、探针、蜜罐全部部署调试费用，出具完整部署实施方案，校方仅配合开放网络权限</w:t>
      </w:r>
      <w:r>
        <w:rPr>
          <w:rFonts w:hint="eastAsia" w:ascii="宋体" w:hAnsi="宋体"/>
          <w:b/>
          <w:bCs w:val="0"/>
          <w:color w:val="000000"/>
          <w:kern w:val="0"/>
          <w:sz w:val="28"/>
          <w:szCs w:val="28"/>
          <w:lang w:eastAsia="zh-CN"/>
        </w:rPr>
        <w:t>。</w:t>
      </w:r>
    </w:p>
    <w:p w14:paraId="66562404">
      <w:pPr>
        <w:numPr>
          <w:ilvl w:val="0"/>
          <w:numId w:val="2"/>
        </w:numPr>
        <w:tabs>
          <w:tab w:val="left" w:pos="709"/>
          <w:tab w:val="left" w:pos="993"/>
          <w:tab w:val="left" w:pos="1418"/>
        </w:tabs>
        <w:ind w:left="0" w:leftChars="0" w:firstLine="0" w:firstLineChars="0"/>
        <w:rPr>
          <w:rFonts w:hint="eastAsia" w:ascii="宋体" w:hAnsi="宋体"/>
          <w:b w:val="0"/>
          <w:bCs/>
          <w:color w:val="000000"/>
          <w:kern w:val="0"/>
          <w:sz w:val="28"/>
          <w:szCs w:val="28"/>
        </w:rPr>
      </w:pPr>
      <w:r>
        <w:rPr>
          <w:rFonts w:hint="eastAsia" w:ascii="宋体" w:hAnsi="宋体"/>
          <w:b/>
          <w:bCs w:val="0"/>
          <w:color w:val="000000"/>
          <w:kern w:val="0"/>
          <w:sz w:val="28"/>
          <w:szCs w:val="28"/>
        </w:rPr>
        <w:t>培训要求</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项目部署完成后提供不少于 2 天现场实操培训，培训内容包含一体化平台操作、资产查询、漏洞处置、告警研判、等保自查；培训课件、操作手册无偿交付，培训交通、食宿全部由中标方承担。</w:t>
      </w:r>
    </w:p>
    <w:p w14:paraId="1513ACC2">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验收标准</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按照采购文件全部服务项、技术指标、交付成果逐项验收；月度交付材料、季度漏洞报告、年度渗透 / 等保报告完整齐全为验收合格标准</w:t>
      </w:r>
    </w:p>
    <w:p w14:paraId="534F94ED">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付款方式</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 xml:space="preserve">合同签订后支付 40% 预付款；全部安全工具部署调试完成、首月全套安全服务成果交付完成支付 </w:t>
      </w:r>
      <w:r>
        <w:rPr>
          <w:rFonts w:hint="eastAsia" w:ascii="宋体" w:hAnsi="宋体"/>
          <w:b w:val="0"/>
          <w:bCs/>
          <w:color w:val="000000"/>
          <w:kern w:val="0"/>
          <w:sz w:val="28"/>
          <w:szCs w:val="28"/>
          <w:lang w:val="en-US" w:eastAsia="zh-CN"/>
        </w:rPr>
        <w:t>35</w:t>
      </w:r>
      <w:r>
        <w:rPr>
          <w:rFonts w:hint="eastAsia" w:ascii="宋体" w:hAnsi="宋体"/>
          <w:b w:val="0"/>
          <w:bCs/>
          <w:color w:val="000000"/>
          <w:kern w:val="0"/>
          <w:sz w:val="28"/>
          <w:szCs w:val="28"/>
          <w:lang w:eastAsia="zh-CN"/>
        </w:rPr>
        <w:t xml:space="preserve">%；服务期满 12 个月、全部年度服务成果交付并整体验收合格后支付剩余 </w:t>
      </w:r>
      <w:r>
        <w:rPr>
          <w:rFonts w:hint="eastAsia" w:ascii="宋体" w:hAnsi="宋体"/>
          <w:b w:val="0"/>
          <w:bCs/>
          <w:color w:val="000000"/>
          <w:kern w:val="0"/>
          <w:sz w:val="28"/>
          <w:szCs w:val="28"/>
          <w:lang w:val="en-US" w:eastAsia="zh-CN"/>
        </w:rPr>
        <w:t>25</w:t>
      </w:r>
      <w:r>
        <w:rPr>
          <w:rFonts w:hint="eastAsia" w:ascii="宋体" w:hAnsi="宋体"/>
          <w:b w:val="0"/>
          <w:bCs/>
          <w:color w:val="000000"/>
          <w:kern w:val="0"/>
          <w:sz w:val="28"/>
          <w:szCs w:val="28"/>
          <w:lang w:eastAsia="zh-CN"/>
        </w:rPr>
        <w:t>% 尾款；若中标人为中小企业，严格落实《保障中小企业款项支付条例》</w:t>
      </w:r>
    </w:p>
    <w:p w14:paraId="2CED41C2">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售后服务响应</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7×24 小时专线技术支持；一般告警、配置问题 30 分钟远程解决；重大网络安全事件 2 小时内工程师到校现场处置。</w:t>
      </w:r>
    </w:p>
    <w:p w14:paraId="0D4FA0E9">
      <w:pPr>
        <w:numPr>
          <w:ilvl w:val="0"/>
          <w:numId w:val="2"/>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rPr>
        <w:t>保密要求</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中标方及所有项目服务人员签订专项保密协议，校园资产、业务系统、漏洞、告警数据严禁对外泄露；服务期满后，删除所有校内留存安全数据，不得私自留存副本</w:t>
      </w: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14"/>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1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0A835B70">
      <w:pPr>
        <w:numPr>
          <w:ilvl w:val="0"/>
          <w:numId w:val="1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int="eastAsia" w:hAnsi="宋体"/>
          <w:bCs/>
          <w:sz w:val="24"/>
        </w:rPr>
      </w:pPr>
    </w:p>
    <w:p w14:paraId="7FF0AEA2">
      <w:pPr>
        <w:tabs>
          <w:tab w:val="left" w:pos="210"/>
          <w:tab w:val="left" w:pos="840"/>
          <w:tab w:val="left" w:pos="1155"/>
        </w:tabs>
        <w:spacing w:line="440" w:lineRule="exact"/>
        <w:ind w:left="420" w:leftChars="200" w:firstLine="420" w:firstLineChars="175"/>
        <w:rPr>
          <w:rFonts w:hint="eastAsia" w:hAnsi="宋体"/>
          <w:bCs/>
          <w:sz w:val="24"/>
        </w:rPr>
      </w:pPr>
    </w:p>
    <w:p w14:paraId="025975C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hint="eastAsia"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AAC4CF">
      <w:pPr>
        <w:spacing w:before="156" w:beforeLines="50" w:line="360" w:lineRule="auto"/>
        <w:rPr>
          <w:rFonts w:hint="eastAsia" w:ascii="宋体" w:hAnsi="宋体"/>
          <w:b/>
          <w:kern w:val="0"/>
          <w:szCs w:val="21"/>
        </w:rPr>
      </w:pPr>
    </w:p>
    <w:p w14:paraId="27892ADA">
      <w:pPr>
        <w:spacing w:line="360" w:lineRule="auto"/>
        <w:rPr>
          <w:rFonts w:hint="eastAsia" w:ascii="宋体" w:hAnsi="宋体"/>
          <w:szCs w:val="21"/>
        </w:rPr>
      </w:pPr>
    </w:p>
    <w:p w14:paraId="472D77BC">
      <w:pPr>
        <w:spacing w:line="360" w:lineRule="auto"/>
        <w:rPr>
          <w:rFonts w:hint="eastAsia"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hint="eastAsia"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hint="eastAsia" w:ascii="宋体" w:hAnsi="宋体" w:cs="宋体"/>
          <w:bCs/>
          <w:sz w:val="28"/>
          <w:szCs w:val="28"/>
        </w:rPr>
      </w:pPr>
    </w:p>
    <w:p w14:paraId="3029B723">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hint="eastAsia" w:ascii="宋体" w:hAnsi="宋体" w:cs="宋体"/>
                <w:sz w:val="24"/>
                <w:szCs w:val="22"/>
              </w:rPr>
            </w:pPr>
            <w:r>
              <w:rPr>
                <w:rFonts w:hint="eastAsia" w:ascii="宋体" w:hAnsi="宋体" w:cs="宋体"/>
                <w:sz w:val="24"/>
                <w:szCs w:val="22"/>
              </w:rPr>
              <w:t>项目总报价</w:t>
            </w:r>
          </w:p>
          <w:p w14:paraId="213C927E">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服务期</w:t>
            </w:r>
          </w:p>
        </w:tc>
        <w:tc>
          <w:tcPr>
            <w:tcW w:w="7303" w:type="dxa"/>
            <w:vAlign w:val="center"/>
          </w:tcPr>
          <w:p w14:paraId="6C790BF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20C00AF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hint="eastAsia"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hint="eastAsia" w:ascii="宋体" w:hAnsi="宋体" w:cs="宋体"/>
                <w:sz w:val="24"/>
                <w:szCs w:val="22"/>
              </w:rPr>
            </w:pPr>
            <w:r>
              <w:rPr>
                <w:rFonts w:hint="eastAsia" w:ascii="宋体" w:hAnsi="宋体" w:cs="宋体"/>
                <w:sz w:val="24"/>
                <w:szCs w:val="22"/>
              </w:rPr>
              <w:t>投标文件</w:t>
            </w:r>
          </w:p>
          <w:p w14:paraId="058B612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hint="eastAsia"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26E8B197">
      <w:pPr>
        <w:spacing w:line="360" w:lineRule="auto"/>
        <w:ind w:firstLine="480" w:firstLineChars="200"/>
        <w:rPr>
          <w:color w:val="000000"/>
          <w:sz w:val="24"/>
        </w:rPr>
      </w:pPr>
    </w:p>
    <w:p w14:paraId="5E6413BE">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69B7D0FF">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7772190B">
      <w:pPr>
        <w:spacing w:line="360" w:lineRule="auto"/>
        <w:ind w:firstLine="480" w:firstLineChars="200"/>
        <w:rPr>
          <w:color w:val="000000"/>
          <w:sz w:val="24"/>
        </w:rPr>
      </w:pPr>
    </w:p>
    <w:p w14:paraId="37A9D9DF">
      <w:pPr>
        <w:spacing w:line="360" w:lineRule="auto"/>
        <w:ind w:firstLine="480" w:firstLineChars="200"/>
        <w:rPr>
          <w:color w:val="000000"/>
          <w:sz w:val="24"/>
        </w:rPr>
      </w:pPr>
    </w:p>
    <w:p w14:paraId="249F8F6A">
      <w:pPr>
        <w:spacing w:line="360" w:lineRule="auto"/>
        <w:ind w:firstLine="480" w:firstLineChars="200"/>
        <w:rPr>
          <w:color w:val="000000"/>
          <w:sz w:val="24"/>
        </w:rPr>
      </w:pPr>
    </w:p>
    <w:p w14:paraId="1038497C">
      <w:pPr>
        <w:spacing w:line="360" w:lineRule="auto"/>
        <w:ind w:firstLine="480" w:firstLineChars="200"/>
        <w:rPr>
          <w:color w:val="000000"/>
          <w:sz w:val="24"/>
        </w:rPr>
      </w:pPr>
    </w:p>
    <w:p w14:paraId="53486C4A">
      <w:pPr>
        <w:spacing w:line="360" w:lineRule="auto"/>
        <w:ind w:firstLine="480" w:firstLineChars="200"/>
        <w:rPr>
          <w:color w:val="000000"/>
          <w:sz w:val="24"/>
        </w:rPr>
      </w:pPr>
    </w:p>
    <w:p w14:paraId="0709C299">
      <w:pPr>
        <w:spacing w:line="360" w:lineRule="auto"/>
        <w:ind w:firstLine="480" w:firstLineChars="200"/>
        <w:rPr>
          <w:color w:val="000000"/>
          <w:sz w:val="24"/>
        </w:rPr>
      </w:pPr>
    </w:p>
    <w:p w14:paraId="357B773D">
      <w:pPr>
        <w:spacing w:line="360" w:lineRule="auto"/>
        <w:ind w:firstLine="480" w:firstLineChars="200"/>
        <w:rPr>
          <w:color w:val="000000"/>
          <w:sz w:val="24"/>
        </w:rPr>
      </w:pPr>
    </w:p>
    <w:p w14:paraId="7C11C4D1">
      <w:pPr>
        <w:spacing w:line="360" w:lineRule="auto"/>
        <w:ind w:firstLine="480" w:firstLineChars="200"/>
        <w:rPr>
          <w:color w:val="000000"/>
          <w:sz w:val="24"/>
        </w:rPr>
      </w:pPr>
    </w:p>
    <w:p w14:paraId="41984E00">
      <w:pPr>
        <w:spacing w:line="360" w:lineRule="auto"/>
        <w:ind w:firstLine="480" w:firstLineChars="200"/>
        <w:rPr>
          <w:color w:val="000000"/>
          <w:sz w:val="24"/>
        </w:rPr>
      </w:pPr>
    </w:p>
    <w:p w14:paraId="12C3AFE1">
      <w:pPr>
        <w:spacing w:line="360" w:lineRule="auto"/>
        <w:ind w:firstLine="480" w:firstLineChars="200"/>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264D5E0">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6C75B168">
                  <w:pPr>
                    <w:jc w:val="center"/>
                  </w:pPr>
                </w:p>
              </w:txbxContent>
            </v:textbox>
          </v:shape>
        </w:pic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2A68BB23">
                  <w:pPr>
                    <w:jc w:val="center"/>
                  </w:pPr>
                </w:p>
              </w:txbxContent>
            </v:textbox>
          </v:shape>
        </w:pic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2DEB25CE">
      <w:pPr>
        <w:spacing w:line="360" w:lineRule="auto"/>
        <w:ind w:firstLine="480" w:firstLineChars="200"/>
        <w:rPr>
          <w:color w:val="000000"/>
          <w:sz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52981">
    <w:pPr>
      <w:ind w:firstLine="48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B8EEE">
    <w:pPr>
      <w:ind w:firstLine="48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401B15"/>
    <w:multiLevelType w:val="multilevel"/>
    <w:tmpl w:val="0C401B15"/>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
    <w:nsid w:val="0D900A30"/>
    <w:multiLevelType w:val="multilevel"/>
    <w:tmpl w:val="0D900A30"/>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20267DE7"/>
    <w:multiLevelType w:val="multilevel"/>
    <w:tmpl w:val="20267DE7"/>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2DBB2F78"/>
    <w:multiLevelType w:val="singleLevel"/>
    <w:tmpl w:val="2DBB2F78"/>
    <w:lvl w:ilvl="0" w:tentative="0">
      <w:start w:val="1"/>
      <w:numFmt w:val="decimal"/>
      <w:lvlText w:val="%1."/>
      <w:lvlJc w:val="left"/>
      <w:pPr>
        <w:ind w:left="425" w:hanging="425"/>
      </w:pPr>
      <w:rPr>
        <w:rFonts w:hint="default"/>
      </w:rPr>
    </w:lvl>
  </w:abstractNum>
  <w:abstractNum w:abstractNumId="4">
    <w:nsid w:val="32551798"/>
    <w:multiLevelType w:val="multilevel"/>
    <w:tmpl w:val="32551798"/>
    <w:lvl w:ilvl="0" w:tentative="0">
      <w:start w:val="1"/>
      <w:numFmt w:val="decimal"/>
      <w:lvlText w:val="%1."/>
      <w:lvlJc w:val="left"/>
      <w:pPr>
        <w:ind w:left="922" w:hanging="440"/>
      </w:pPr>
    </w:lvl>
    <w:lvl w:ilvl="1" w:tentative="0">
      <w:start w:val="1"/>
      <w:numFmt w:val="lowerLetter"/>
      <w:lvlText w:val="%2)"/>
      <w:lvlJc w:val="left"/>
      <w:pPr>
        <w:ind w:left="1362" w:hanging="440"/>
      </w:pPr>
    </w:lvl>
    <w:lvl w:ilvl="2" w:tentative="0">
      <w:start w:val="1"/>
      <w:numFmt w:val="lowerRoman"/>
      <w:lvlText w:val="%3."/>
      <w:lvlJc w:val="right"/>
      <w:pPr>
        <w:ind w:left="1802" w:hanging="440"/>
      </w:pPr>
    </w:lvl>
    <w:lvl w:ilvl="3" w:tentative="0">
      <w:start w:val="1"/>
      <w:numFmt w:val="decimal"/>
      <w:lvlText w:val="%4."/>
      <w:lvlJc w:val="left"/>
      <w:pPr>
        <w:ind w:left="2242" w:hanging="440"/>
      </w:pPr>
    </w:lvl>
    <w:lvl w:ilvl="4" w:tentative="0">
      <w:start w:val="1"/>
      <w:numFmt w:val="lowerLetter"/>
      <w:lvlText w:val="%5)"/>
      <w:lvlJc w:val="left"/>
      <w:pPr>
        <w:ind w:left="2682" w:hanging="440"/>
      </w:pPr>
    </w:lvl>
    <w:lvl w:ilvl="5" w:tentative="0">
      <w:start w:val="1"/>
      <w:numFmt w:val="lowerRoman"/>
      <w:lvlText w:val="%6."/>
      <w:lvlJc w:val="right"/>
      <w:pPr>
        <w:ind w:left="3122" w:hanging="440"/>
      </w:pPr>
    </w:lvl>
    <w:lvl w:ilvl="6" w:tentative="0">
      <w:start w:val="1"/>
      <w:numFmt w:val="decimal"/>
      <w:lvlText w:val="%7."/>
      <w:lvlJc w:val="left"/>
      <w:pPr>
        <w:ind w:left="3562" w:hanging="440"/>
      </w:pPr>
    </w:lvl>
    <w:lvl w:ilvl="7" w:tentative="0">
      <w:start w:val="1"/>
      <w:numFmt w:val="lowerLetter"/>
      <w:lvlText w:val="%8)"/>
      <w:lvlJc w:val="left"/>
      <w:pPr>
        <w:ind w:left="4002" w:hanging="440"/>
      </w:pPr>
    </w:lvl>
    <w:lvl w:ilvl="8" w:tentative="0">
      <w:start w:val="1"/>
      <w:numFmt w:val="lowerRoman"/>
      <w:lvlText w:val="%9."/>
      <w:lvlJc w:val="right"/>
      <w:pPr>
        <w:ind w:left="4442" w:hanging="440"/>
      </w:pPr>
    </w:lvl>
  </w:abstractNum>
  <w:abstractNum w:abstractNumId="5">
    <w:nsid w:val="35DDE33E"/>
    <w:multiLevelType w:val="singleLevel"/>
    <w:tmpl w:val="35DDE33E"/>
    <w:lvl w:ilvl="0" w:tentative="0">
      <w:start w:val="2"/>
      <w:numFmt w:val="chineseCounting"/>
      <w:suff w:val="nothing"/>
      <w:lvlText w:val="%1、"/>
      <w:lvlJc w:val="left"/>
      <w:rPr>
        <w:rFonts w:hint="eastAsia"/>
        <w:b/>
        <w:bCs/>
      </w:rPr>
    </w:lvl>
  </w:abstractNum>
  <w:abstractNum w:abstractNumId="6">
    <w:nsid w:val="50424CAA"/>
    <w:multiLevelType w:val="multilevel"/>
    <w:tmpl w:val="50424CAA"/>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7">
    <w:nsid w:val="511259F6"/>
    <w:multiLevelType w:val="multilevel"/>
    <w:tmpl w:val="511259F6"/>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8">
    <w:nsid w:val="613F7E65"/>
    <w:multiLevelType w:val="multilevel"/>
    <w:tmpl w:val="613F7E65"/>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692D2693"/>
    <w:multiLevelType w:val="multilevel"/>
    <w:tmpl w:val="692D2693"/>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
    <w:nsid w:val="6F08547B"/>
    <w:multiLevelType w:val="multilevel"/>
    <w:tmpl w:val="6F08547B"/>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78145898"/>
    <w:multiLevelType w:val="multilevel"/>
    <w:tmpl w:val="78145898"/>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2">
    <w:nsid w:val="7B5B24D2"/>
    <w:multiLevelType w:val="multilevel"/>
    <w:tmpl w:val="7B5B24D2"/>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5"/>
  </w:num>
  <w:num w:numId="3">
    <w:abstractNumId w:val="8"/>
  </w:num>
  <w:num w:numId="4">
    <w:abstractNumId w:val="4"/>
  </w:num>
  <w:num w:numId="5">
    <w:abstractNumId w:val="11"/>
  </w:num>
  <w:num w:numId="6">
    <w:abstractNumId w:val="1"/>
  </w:num>
  <w:num w:numId="7">
    <w:abstractNumId w:val="10"/>
  </w:num>
  <w:num w:numId="8">
    <w:abstractNumId w:val="0"/>
  </w:num>
  <w:num w:numId="9">
    <w:abstractNumId w:val="6"/>
  </w:num>
  <w:num w:numId="10">
    <w:abstractNumId w:val="12"/>
  </w:num>
  <w:num w:numId="11">
    <w:abstractNumId w:val="7"/>
  </w:num>
  <w:num w:numId="12">
    <w:abstractNumId w:val="2"/>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0F2141AB"/>
    <w:rsid w:val="216571E2"/>
    <w:rsid w:val="25C343FD"/>
    <w:rsid w:val="296059B8"/>
    <w:rsid w:val="2A376E01"/>
    <w:rsid w:val="31C429DB"/>
    <w:rsid w:val="59902581"/>
    <w:rsid w:val="5FA20396"/>
    <w:rsid w:val="61087C8A"/>
    <w:rsid w:val="7E8E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link w:val="27"/>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link w:val="28"/>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9"/>
    <w:autoRedefine/>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31"/>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32"/>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3"/>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4"/>
    <w:semiHidden/>
    <w:unhideWhenUsed/>
    <w:qFormat/>
    <w:uiPriority w:val="9"/>
    <w:pPr>
      <w:keepNext/>
      <w:keepLines/>
      <w:outlineLvl w:val="8"/>
    </w:pPr>
    <w:rPr>
      <w:rFonts w:eastAsiaTheme="majorEastAsia" w:cstheme="majorBidi"/>
      <w:color w:val="585858" w:themeColor="text1" w:themeTint="A6"/>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qFormat/>
    <w:uiPriority w:val="0"/>
    <w:rPr>
      <w:sz w:val="20"/>
    </w:rPr>
  </w:style>
  <w:style w:type="paragraph" w:styleId="12">
    <w:name w:val="Body Text Indent"/>
    <w:basedOn w:val="1"/>
    <w:link w:val="48"/>
    <w:semiHidden/>
    <w:unhideWhenUsed/>
    <w:qFormat/>
    <w:uiPriority w:val="99"/>
    <w:pPr>
      <w:spacing w:after="120"/>
      <w:ind w:left="420" w:leftChars="200"/>
    </w:pPr>
  </w:style>
  <w:style w:type="paragraph" w:styleId="13">
    <w:name w:val="Date"/>
    <w:basedOn w:val="1"/>
    <w:next w:val="1"/>
    <w:link w:val="46"/>
    <w:autoRedefine/>
    <w:qFormat/>
    <w:uiPriority w:val="0"/>
    <w:pPr>
      <w:ind w:left="2500" w:leftChars="2500"/>
    </w:pPr>
    <w:rPr>
      <w:rFonts w:eastAsia="黑体"/>
      <w:kern w:val="0"/>
      <w:sz w:val="32"/>
    </w:rPr>
  </w:style>
  <w:style w:type="paragraph" w:styleId="14">
    <w:name w:val="footer"/>
    <w:basedOn w:val="1"/>
    <w:link w:val="45"/>
    <w:unhideWhenUsed/>
    <w:qFormat/>
    <w:uiPriority w:val="99"/>
    <w:pPr>
      <w:tabs>
        <w:tab w:val="center" w:pos="4153"/>
        <w:tab w:val="right" w:pos="8306"/>
      </w:tabs>
      <w:snapToGrid w:val="0"/>
    </w:pPr>
    <w:rPr>
      <w:sz w:val="18"/>
      <w:szCs w:val="18"/>
    </w:rPr>
  </w:style>
  <w:style w:type="paragraph" w:styleId="15">
    <w:name w:val="header"/>
    <w:basedOn w:val="1"/>
    <w:link w:val="44"/>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6"/>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paragraph" w:customStyle="1" w:styleId="25">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标题 1 字符"/>
    <w:basedOn w:val="22"/>
    <w:link w:val="2"/>
    <w:autoRedefine/>
    <w:qFormat/>
    <w:uiPriority w:val="9"/>
    <w:rPr>
      <w:rFonts w:asciiTheme="majorHAnsi" w:hAnsiTheme="majorHAnsi" w:eastAsiaTheme="majorEastAsia" w:cstheme="majorBidi"/>
      <w:color w:val="0F4761"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8">
    <w:name w:val="标题 3 字符"/>
    <w:basedOn w:val="22"/>
    <w:link w:val="4"/>
    <w:autoRedefine/>
    <w:semiHidden/>
    <w:qFormat/>
    <w:uiPriority w:val="9"/>
    <w:rPr>
      <w:rFonts w:asciiTheme="majorHAnsi" w:hAnsiTheme="majorHAnsi" w:eastAsiaTheme="majorEastAsia" w:cstheme="majorBidi"/>
      <w:color w:val="0F4761" w:themeColor="accent1" w:themeShade="BF"/>
      <w:sz w:val="32"/>
      <w:szCs w:val="32"/>
    </w:rPr>
  </w:style>
  <w:style w:type="character" w:customStyle="1" w:styleId="29">
    <w:name w:val="标题 4 字符"/>
    <w:basedOn w:val="22"/>
    <w:link w:val="5"/>
    <w:semiHidden/>
    <w:qFormat/>
    <w:uiPriority w:val="9"/>
    <w:rPr>
      <w:rFonts w:cstheme="majorBidi"/>
      <w:color w:val="0F4761" w:themeColor="accent1" w:themeShade="BF"/>
      <w:sz w:val="28"/>
      <w:szCs w:val="28"/>
    </w:rPr>
  </w:style>
  <w:style w:type="character" w:customStyle="1" w:styleId="30">
    <w:name w:val="标题 5 字符"/>
    <w:basedOn w:val="22"/>
    <w:link w:val="6"/>
    <w:semiHidden/>
    <w:qFormat/>
    <w:uiPriority w:val="9"/>
    <w:rPr>
      <w:rFonts w:cstheme="majorBidi"/>
      <w:color w:val="0F4761" w:themeColor="accent1" w:themeShade="BF"/>
      <w:sz w:val="24"/>
    </w:rPr>
  </w:style>
  <w:style w:type="character" w:customStyle="1" w:styleId="31">
    <w:name w:val="标题 6 字符"/>
    <w:basedOn w:val="22"/>
    <w:link w:val="7"/>
    <w:semiHidden/>
    <w:qFormat/>
    <w:uiPriority w:val="9"/>
    <w:rPr>
      <w:rFonts w:cstheme="majorBidi"/>
      <w:b/>
      <w:bCs/>
      <w:color w:val="0F4761" w:themeColor="accent1" w:themeShade="BF"/>
    </w:rPr>
  </w:style>
  <w:style w:type="character" w:customStyle="1" w:styleId="32">
    <w:name w:val="标题 7 字符"/>
    <w:basedOn w:val="22"/>
    <w:link w:val="8"/>
    <w:semiHidden/>
    <w:qFormat/>
    <w:uiPriority w:val="9"/>
    <w:rPr>
      <w:rFonts w:cstheme="majorBidi"/>
      <w:b/>
      <w:bCs/>
      <w:color w:val="585858" w:themeColor="text1" w:themeTint="A6"/>
    </w:rPr>
  </w:style>
  <w:style w:type="character" w:customStyle="1" w:styleId="33">
    <w:name w:val="标题 8 字符"/>
    <w:basedOn w:val="22"/>
    <w:link w:val="9"/>
    <w:semiHidden/>
    <w:qFormat/>
    <w:uiPriority w:val="9"/>
    <w:rPr>
      <w:rFonts w:cstheme="majorBidi"/>
      <w:color w:val="585858" w:themeColor="text1" w:themeTint="A6"/>
    </w:rPr>
  </w:style>
  <w:style w:type="character" w:customStyle="1" w:styleId="34">
    <w:name w:val="标题 9 字符"/>
    <w:basedOn w:val="22"/>
    <w:link w:val="10"/>
    <w:semiHidden/>
    <w:qFormat/>
    <w:uiPriority w:val="9"/>
    <w:rPr>
      <w:rFonts w:eastAsiaTheme="majorEastAsia" w:cstheme="majorBidi"/>
      <w:color w:val="585858" w:themeColor="text1" w:themeTint="A6"/>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6"/>
    <w:autoRedefine/>
    <w:qFormat/>
    <w:uiPriority w:val="11"/>
    <w:rPr>
      <w:rFonts w:asciiTheme="majorHAnsi" w:hAnsiTheme="majorHAnsi" w:eastAsiaTheme="majorEastAsia" w:cstheme="majorBidi"/>
      <w:color w:val="585858" w:themeColor="text1" w:themeTint="A6"/>
      <w:spacing w:val="15"/>
      <w:sz w:val="28"/>
      <w:szCs w:val="28"/>
    </w:rPr>
  </w:style>
  <w:style w:type="paragraph" w:styleId="37">
    <w:name w:val="Quote"/>
    <w:basedOn w:val="1"/>
    <w:next w:val="1"/>
    <w:link w:val="38"/>
    <w:autoRedefine/>
    <w:qFormat/>
    <w:uiPriority w:val="29"/>
    <w:pPr>
      <w:spacing w:before="160"/>
      <w:jc w:val="center"/>
    </w:pPr>
    <w:rPr>
      <w:i/>
      <w:iCs/>
      <w:color w:val="3F3F3F" w:themeColor="text1" w:themeTint="BF"/>
    </w:rPr>
  </w:style>
  <w:style w:type="character" w:customStyle="1" w:styleId="38">
    <w:name w:val="引用 字符"/>
    <w:basedOn w:val="22"/>
    <w:link w:val="37"/>
    <w:qFormat/>
    <w:uiPriority w:val="29"/>
    <w:rPr>
      <w:i/>
      <w:iCs/>
      <w:color w:val="3F3F3F" w:themeColor="text1" w:themeTint="BF"/>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0F4761"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2">
    <w:name w:val="明显引用 字符"/>
    <w:basedOn w:val="22"/>
    <w:link w:val="41"/>
    <w:qFormat/>
    <w:uiPriority w:val="30"/>
    <w:rPr>
      <w:i/>
      <w:iCs/>
      <w:color w:val="0F4761" w:themeColor="accent1" w:themeShade="BF"/>
    </w:rPr>
  </w:style>
  <w:style w:type="character" w:customStyle="1" w:styleId="43">
    <w:name w:val="明显参考1"/>
    <w:basedOn w:val="22"/>
    <w:qFormat/>
    <w:uiPriority w:val="32"/>
    <w:rPr>
      <w:b/>
      <w:bCs/>
      <w:smallCaps/>
      <w:color w:val="0F4761" w:themeColor="accent1" w:themeShade="BF"/>
      <w:spacing w:val="5"/>
    </w:rPr>
  </w:style>
  <w:style w:type="character" w:customStyle="1" w:styleId="44">
    <w:name w:val="页眉 字符"/>
    <w:basedOn w:val="22"/>
    <w:link w:val="15"/>
    <w:qFormat/>
    <w:uiPriority w:val="99"/>
    <w:rPr>
      <w:sz w:val="18"/>
      <w:szCs w:val="18"/>
    </w:rPr>
  </w:style>
  <w:style w:type="character" w:customStyle="1" w:styleId="45">
    <w:name w:val="页脚 字符"/>
    <w:basedOn w:val="22"/>
    <w:link w:val="14"/>
    <w:qFormat/>
    <w:uiPriority w:val="99"/>
    <w:rPr>
      <w:sz w:val="18"/>
      <w:szCs w:val="18"/>
    </w:rPr>
  </w:style>
  <w:style w:type="character" w:customStyle="1" w:styleId="46">
    <w:name w:val="日期 字符"/>
    <w:basedOn w:val="22"/>
    <w:link w:val="13"/>
    <w:qFormat/>
    <w:uiPriority w:val="0"/>
    <w:rPr>
      <w:rFonts w:ascii="Times New Roman" w:hAnsi="Times New Roman" w:eastAsia="黑体" w:cs="Times New Roman"/>
      <w:kern w:val="0"/>
      <w:sz w:val="32"/>
    </w:rPr>
  </w:style>
  <w:style w:type="paragraph" w:customStyle="1" w:styleId="47">
    <w:name w:val="正文文本首行缩进 21"/>
    <w:basedOn w:val="12"/>
    <w:unhideWhenUsed/>
    <w:qFormat/>
    <w:uiPriority w:val="99"/>
    <w:pPr>
      <w:ind w:firstLine="420" w:firstLineChars="200"/>
    </w:pPr>
    <w:rPr>
      <w:rFonts w:ascii="宋体"/>
      <w:spacing w:val="-4"/>
    </w:rPr>
  </w:style>
  <w:style w:type="character" w:customStyle="1" w:styleId="48">
    <w:name w:val="正文文本缩进 字符"/>
    <w:basedOn w:val="22"/>
    <w:link w:val="12"/>
    <w:semiHidden/>
    <w:qFormat/>
    <w:uiPriority w:val="99"/>
    <w:rPr>
      <w:rFonts w:ascii="Times New Roman" w:hAnsi="Times New Roman" w:eastAsia="宋体" w:cs="Times New Roman"/>
      <w:kern w:val="2"/>
      <w:sz w:val="21"/>
      <w:szCs w:val="24"/>
    </w:rPr>
  </w:style>
  <w:style w:type="character" w:customStyle="1" w:styleId="49">
    <w:name w:val="加粗样式1 字符"/>
    <w:link w:val="50"/>
    <w:qFormat/>
    <w:uiPriority w:val="0"/>
    <w:rPr>
      <w:rFonts w:ascii="宋体" w:hAnsi="宋体" w:eastAsia="宋体" w:cs="Times New Roman"/>
      <w:b/>
      <w:bCs/>
      <w:kern w:val="2"/>
      <w:sz w:val="24"/>
      <w:szCs w:val="22"/>
      <w:u w:val="single"/>
      <w:lang w:val="en-US" w:eastAsia="zh-CN" w:bidi="ar-SA"/>
    </w:rPr>
  </w:style>
  <w:style w:type="paragraph" w:customStyle="1" w:styleId="50">
    <w:name w:val="加粗样式1"/>
    <w:link w:val="49"/>
    <w:qFormat/>
    <w:uiPriority w:val="0"/>
    <w:rPr>
      <w:rFonts w:ascii="宋体" w:hAnsi="宋体" w:eastAsia="宋体" w:cs="Times New Roman"/>
      <w:b/>
      <w:bCs/>
      <w:kern w:val="2"/>
      <w:sz w:val="24"/>
      <w:szCs w:val="22"/>
      <w:u w:val="single"/>
      <w:lang w:val="en-US" w:eastAsia="zh-CN" w:bidi="ar-SA"/>
    </w:rPr>
  </w:style>
  <w:style w:type="paragraph" w:customStyle="1" w:styleId="51">
    <w:name w:val="表格样式"/>
    <w:qFormat/>
    <w:uiPriority w:val="0"/>
    <w:pPr>
      <w:spacing w:after="0" w:line="240" w:lineRule="auto"/>
    </w:pPr>
    <w:rPr>
      <w:rFonts w:ascii="宋体" w:hAnsi="宋体" w:eastAsia="宋体" w:cstheme="minorBidi"/>
      <w:kern w:val="2"/>
      <w:sz w:val="24"/>
      <w:szCs w:val="21"/>
      <w:lang w:val="en-US" w:eastAsia="zh-CN" w:bidi="ar-SA"/>
      <w14:ligatures w14:val="none"/>
    </w:rPr>
  </w:style>
  <w:style w:type="paragraph" w:customStyle="1" w:styleId="52">
    <w:name w:val="正文首行缩进1"/>
    <w:basedOn w:val="1"/>
    <w:autoRedefine/>
    <w:qFormat/>
    <w:uiPriority w:val="0"/>
    <w:pPr>
      <w:spacing w:after="50"/>
      <w:ind w:firstLine="200" w:firstLineChars="200"/>
    </w:pPr>
  </w:style>
  <w:style w:type="table" w:customStyle="1" w:styleId="53">
    <w:name w:val="文档表格无标题列型（FF）"/>
    <w:basedOn w:val="21"/>
    <w:autoRedefine/>
    <w:qFormat/>
    <w:uiPriority w:val="0"/>
    <w:rPr>
      <w:sz w:val="1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cPr>
      <w:vAlign w:val="center"/>
    </w:tcPr>
    <w:tblStylePr w:type="firstRow">
      <w:pPr>
        <w:wordWrap/>
        <w:spacing w:line="300" w:lineRule="auto"/>
        <w:jc w:val="center"/>
      </w:pPr>
      <w:rPr>
        <w:rFonts w:ascii="Arial" w:hAnsi="Arial" w:eastAsia="宋体"/>
        <w:b w:val="0"/>
        <w:i w:val="0"/>
        <w:sz w:val="18"/>
      </w:rPr>
      <w:tcPr>
        <w:shd w:val="clear" w:color="auto" w:fill="B8D4EF" w:themeFill="text2" w:themeFillTint="33"/>
        <w:vAlign w:val="center"/>
      </w:tcPr>
    </w:tblStylePr>
    <w:tblStylePr w:type="firstCol">
      <w:rPr>
        <w:rFonts w:ascii="Arial" w:hAnsi="Arial" w:eastAsia="宋体"/>
        <w:b w:val="0"/>
        <w:i w:val="0"/>
        <w:sz w:val="21"/>
      </w:r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12313</Words>
  <Characters>13145</Characters>
  <Lines>70</Lines>
  <Paragraphs>19</Paragraphs>
  <TotalTime>13</TotalTime>
  <ScaleCrop>false</ScaleCrop>
  <LinksUpToDate>false</LinksUpToDate>
  <CharactersWithSpaces>14526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2026-07-06T02:31:44Z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