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项目名称：2023级学生实习保险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项目编号：JSITFW2025042503</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5</w:t>
      </w:r>
      <w:r>
        <w:rPr>
          <w:rFonts w:hint="eastAsia" w:ascii="宋体" w:hAnsi="宋体" w:eastAsia="宋体"/>
          <w:color w:val="000000"/>
        </w:rPr>
        <w:t>月</w:t>
      </w:r>
      <w:r>
        <w:rPr>
          <w:rFonts w:hint="eastAsia" w:ascii="宋体" w:hAnsi="宋体" w:eastAsia="宋体"/>
          <w:color w:val="000000"/>
          <w:lang w:val="en-US" w:eastAsia="zh-CN"/>
        </w:rPr>
        <w:t>8</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江苏信息职业技术学院招投标中心受学校委托，就学校采购2023级学生实习保险项目进行比选招标，现欢迎符合相关条件的供应商参加投标。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名称：2023级学生实习保险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编号：JSITFW2025042503</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4.8</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rFonts w:hint="eastAsia"/>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5311A988">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3.必须符合国家保监会规定，享有团体人身意外身故保险、意外伤残保险、意外住院医疗保险等险种的经营资格；（附中国保险监督管理委员会颁发的证书复印件加盖单位公章）</w:t>
      </w:r>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4</w:t>
      </w:r>
      <w:r>
        <w:rPr>
          <w:rFonts w:hint="eastAsia" w:ascii="宋体" w:hAnsi="宋体" w:cs="宋体"/>
          <w:color w:val="000000"/>
          <w:kern w:val="0"/>
          <w:sz w:val="24"/>
        </w:rPr>
        <w:t>.本次招标不接受联合体投标，不得转包、分包。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5</w:t>
      </w:r>
      <w:r>
        <w:rPr>
          <w:rFonts w:hint="eastAsia"/>
          <w:color w:val="000000"/>
          <w:sz w:val="24"/>
        </w:rPr>
        <w:t>月</w:t>
      </w:r>
      <w:r>
        <w:rPr>
          <w:rFonts w:hint="eastAsia"/>
          <w:color w:val="000000"/>
          <w:sz w:val="24"/>
          <w:lang w:val="en-US" w:eastAsia="zh-CN"/>
        </w:rPr>
        <w:t>16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20</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20</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20</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技术联系人：李老师</w:t>
      </w:r>
    </w:p>
    <w:p w14:paraId="200522DF">
      <w:pPr>
        <w:spacing w:line="360" w:lineRule="auto"/>
        <w:ind w:firstLine="969" w:firstLineChars="391"/>
        <w:rPr>
          <w:color w:val="000000"/>
          <w:spacing w:val="4"/>
          <w:sz w:val="24"/>
        </w:rPr>
      </w:pPr>
      <w:r>
        <w:rPr>
          <w:rFonts w:hint="eastAsia"/>
          <w:color w:val="000000"/>
          <w:spacing w:val="4"/>
          <w:sz w:val="24"/>
        </w:rPr>
        <w:t>联系电话：17372957689</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5</w:t>
      </w:r>
      <w:r>
        <w:rPr>
          <w:rFonts w:hint="eastAsia"/>
          <w:color w:val="000000"/>
          <w:spacing w:val="4"/>
          <w:sz w:val="24"/>
        </w:rPr>
        <w:t>月</w:t>
      </w:r>
      <w:r>
        <w:rPr>
          <w:rFonts w:hint="eastAsia"/>
          <w:color w:val="000000"/>
          <w:spacing w:val="4"/>
          <w:sz w:val="24"/>
          <w:lang w:val="en-US" w:eastAsia="zh-CN"/>
        </w:rPr>
        <w:t>12</w:t>
      </w:r>
      <w:bookmarkStart w:id="9" w:name="_GoBack"/>
      <w:bookmarkEnd w:id="9"/>
      <w:r>
        <w:rPr>
          <w:rFonts w:hint="eastAsia"/>
          <w:color w:val="000000"/>
          <w:spacing w:val="4"/>
          <w:sz w:val="24"/>
        </w:rPr>
        <w:t>日</w:t>
      </w:r>
    </w:p>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5139BAF">
      <w:pPr>
        <w:spacing w:line="360" w:lineRule="auto"/>
        <w:ind w:firstLine="480" w:firstLineChars="200"/>
        <w:rPr>
          <w:rFonts w:hint="eastAsia"/>
          <w:color w:val="000000"/>
          <w:sz w:val="24"/>
        </w:rPr>
      </w:pPr>
      <w:r>
        <w:rPr>
          <w:rFonts w:hint="eastAsia"/>
          <w:color w:val="000000"/>
          <w:sz w:val="24"/>
        </w:rPr>
        <w:t>（</w:t>
      </w:r>
      <w:r>
        <w:rPr>
          <w:rFonts w:hint="eastAsia"/>
          <w:color w:val="000000"/>
          <w:sz w:val="24"/>
          <w:lang w:val="en-US" w:eastAsia="zh-CN"/>
        </w:rPr>
        <w:t>7</w:t>
      </w:r>
      <w:r>
        <w:rPr>
          <w:rFonts w:hint="eastAsia"/>
          <w:color w:val="000000"/>
          <w:sz w:val="24"/>
        </w:rPr>
        <w:t>）</w:t>
      </w:r>
      <w:r>
        <w:rPr>
          <w:rFonts w:hint="eastAsia" w:ascii="宋体" w:hAnsi="宋体" w:cs="宋体"/>
          <w:color w:val="000000"/>
          <w:kern w:val="0"/>
          <w:sz w:val="24"/>
        </w:rPr>
        <w:t>必须符合国家保监会规定，享有团体人身意外身故保险、意外伤残保险、意外住院医疗保险等险种的经营资格；（附中国保险监督管理委员会颁发的证书复印件加盖单位公章）</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5</w:t>
            </w:r>
            <w:r>
              <w:rPr>
                <w:rFonts w:hint="eastAsia" w:ascii="宋体" w:hAnsi="宋体"/>
                <w:color w:val="000000"/>
                <w:sz w:val="24"/>
              </w:rPr>
              <w:t>0分）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50</w:t>
            </w:r>
            <w:r>
              <w:rPr>
                <w:rFonts w:hint="eastAsia" w:ascii="宋体" w:hAnsi="宋体"/>
                <w:color w:val="000000"/>
                <w:sz w:val="24"/>
              </w:rPr>
              <w:t>。</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color w:val="000000"/>
                <w:sz w:val="24"/>
              </w:rPr>
            </w:pPr>
            <w:r>
              <w:rPr>
                <w:rFonts w:hint="eastAsia" w:ascii="宋体" w:hAnsi="宋体"/>
                <w:color w:val="000000"/>
                <w:sz w:val="24"/>
              </w:rPr>
              <w:t>企业综合评价（</w:t>
            </w:r>
            <w:r>
              <w:rPr>
                <w:rFonts w:hint="eastAsia" w:ascii="宋体" w:hAnsi="宋体"/>
                <w:color w:val="000000"/>
                <w:sz w:val="24"/>
                <w:lang w:val="en-US" w:eastAsia="zh-CN"/>
              </w:rPr>
              <w:t>10</w:t>
            </w:r>
            <w:r>
              <w:rPr>
                <w:rFonts w:hint="eastAsia" w:ascii="宋体" w:hAnsi="宋体"/>
                <w:color w:val="000000"/>
                <w:sz w:val="24"/>
              </w:rPr>
              <w:t>分）</w:t>
            </w:r>
          </w:p>
        </w:tc>
        <w:tc>
          <w:tcPr>
            <w:tcW w:w="6664" w:type="dxa"/>
            <w:vAlign w:val="center"/>
          </w:tcPr>
          <w:p w14:paraId="2E7ED13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报价供应商20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4</w:t>
            </w:r>
            <w:r>
              <w:rPr>
                <w:rFonts w:hint="eastAsia" w:ascii="宋体" w:hAnsi="宋体"/>
                <w:color w:val="000000"/>
                <w:sz w:val="24"/>
              </w:rPr>
              <w:t>月1日以来</w:t>
            </w:r>
            <w:r>
              <w:rPr>
                <w:rFonts w:hint="eastAsia"/>
                <w:color w:val="000000"/>
                <w:sz w:val="24"/>
                <w:lang w:val="en-US" w:eastAsia="zh-CN"/>
              </w:rPr>
              <w:t>有</w:t>
            </w:r>
            <w:r>
              <w:rPr>
                <w:rFonts w:hint="eastAsia"/>
                <w:color w:val="000000"/>
                <w:sz w:val="24"/>
              </w:rPr>
              <w:t>同类高校成功案例</w:t>
            </w:r>
            <w:r>
              <w:rPr>
                <w:rFonts w:hint="eastAsia"/>
                <w:color w:val="000000"/>
                <w:sz w:val="24"/>
                <w:lang w:val="en-US" w:eastAsia="zh-CN"/>
              </w:rPr>
              <w:t>的</w:t>
            </w:r>
            <w:r>
              <w:rPr>
                <w:rFonts w:hint="eastAsia" w:ascii="宋体" w:hAnsi="宋体"/>
                <w:color w:val="000000"/>
                <w:sz w:val="24"/>
              </w:rPr>
              <w:t>，有1个，得</w:t>
            </w:r>
            <w:r>
              <w:rPr>
                <w:rFonts w:hint="eastAsia" w:ascii="宋体" w:hAnsi="宋体"/>
                <w:color w:val="000000"/>
                <w:sz w:val="24"/>
                <w:lang w:val="en-US" w:eastAsia="zh-CN"/>
              </w:rPr>
              <w:t>2</w:t>
            </w:r>
            <w:r>
              <w:rPr>
                <w:rFonts w:hint="eastAsia" w:ascii="宋体" w:hAnsi="宋体"/>
                <w:color w:val="000000"/>
                <w:sz w:val="24"/>
              </w:rPr>
              <w:t>分，最多得</w:t>
            </w:r>
            <w:r>
              <w:rPr>
                <w:rFonts w:hint="eastAsia" w:ascii="宋体" w:hAnsi="宋体"/>
                <w:color w:val="000000"/>
                <w:sz w:val="24"/>
                <w:lang w:val="en-US" w:eastAsia="zh-CN"/>
              </w:rPr>
              <w:t>10</w:t>
            </w:r>
            <w:r>
              <w:rPr>
                <w:rFonts w:hint="eastAsia" w:ascii="宋体" w:hAnsi="宋体"/>
                <w:color w:val="000000"/>
                <w:sz w:val="24"/>
              </w:rPr>
              <w:t>分。（投标时提供合同原件核查，日期以签订合同日期为准；复印件加盖公章放入补充证明文件中，不提供或提供不全者，本项不得分）</w:t>
            </w:r>
          </w:p>
        </w:tc>
      </w:tr>
      <w:tr w14:paraId="5175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469DCF">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49302839">
            <w:pPr>
              <w:widowControl/>
              <w:spacing w:line="400" w:lineRule="exact"/>
              <w:jc w:val="center"/>
              <w:rPr>
                <w:rFonts w:hint="eastAsia" w:ascii="宋体" w:hAnsi="宋体"/>
                <w:color w:val="000000"/>
                <w:sz w:val="24"/>
                <w:lang w:val="en-US" w:eastAsia="zh-CN"/>
              </w:rPr>
            </w:pPr>
            <w:r>
              <w:rPr>
                <w:rFonts w:hint="eastAsia" w:ascii="宋体" w:hAnsi="宋体"/>
                <w:color w:val="000000"/>
                <w:sz w:val="24"/>
              </w:rPr>
              <w:t>理赔案例与数据（10 分）</w:t>
            </w:r>
          </w:p>
        </w:tc>
        <w:tc>
          <w:tcPr>
            <w:tcW w:w="6664" w:type="dxa"/>
            <w:vAlign w:val="center"/>
          </w:tcPr>
          <w:p w14:paraId="5CB82573">
            <w:pPr>
              <w:widowControl/>
              <w:spacing w:line="400" w:lineRule="exact"/>
              <w:jc w:val="left"/>
              <w:rPr>
                <w:rFonts w:hint="eastAsia" w:ascii="宋体" w:hAnsi="宋体"/>
                <w:color w:val="000000"/>
                <w:sz w:val="24"/>
              </w:rPr>
            </w:pPr>
            <w:r>
              <w:rPr>
                <w:rFonts w:hint="eastAsia" w:ascii="宋体" w:hAnsi="宋体"/>
                <w:color w:val="000000"/>
                <w:sz w:val="24"/>
              </w:rPr>
              <w:t>投标供应商提供过往理赔案例和相关数据，如理赔率、平均理赔周期、客户满意度等。</w:t>
            </w:r>
          </w:p>
          <w:p w14:paraId="47051402">
            <w:pPr>
              <w:widowControl/>
              <w:spacing w:line="400" w:lineRule="exact"/>
              <w:jc w:val="left"/>
              <w:rPr>
                <w:rFonts w:hint="eastAsia" w:ascii="宋体" w:hAnsi="宋体"/>
                <w:color w:val="000000"/>
                <w:sz w:val="24"/>
              </w:rPr>
            </w:pPr>
            <w:r>
              <w:rPr>
                <w:rFonts w:hint="eastAsia" w:ascii="宋体" w:hAnsi="宋体"/>
                <w:color w:val="000000"/>
                <w:sz w:val="24"/>
              </w:rPr>
              <w:t>通过案例和数据展示出高效理赔服务能力的，得 7 - 10 分；</w:t>
            </w:r>
          </w:p>
          <w:p w14:paraId="6A8EE28C">
            <w:pPr>
              <w:widowControl/>
              <w:spacing w:line="400" w:lineRule="exact"/>
              <w:jc w:val="left"/>
              <w:rPr>
                <w:rFonts w:hint="eastAsia" w:ascii="宋体" w:hAnsi="宋体"/>
                <w:color w:val="000000"/>
                <w:sz w:val="24"/>
                <w:lang w:eastAsia="zh-CN"/>
              </w:rPr>
            </w:pPr>
            <w:r>
              <w:rPr>
                <w:rFonts w:hint="eastAsia" w:ascii="宋体" w:hAnsi="宋体"/>
                <w:color w:val="000000"/>
                <w:sz w:val="24"/>
              </w:rPr>
              <w:t>案例和数据较少，难以体现理赔服务优势的，得 3 - 6 分；未提供相关案例和数据的，得 0分。</w:t>
            </w: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51EA8392">
            <w:pPr>
              <w:widowControl/>
              <w:spacing w:line="400" w:lineRule="exact"/>
              <w:jc w:val="center"/>
              <w:rPr>
                <w:rFonts w:hint="eastAsia" w:ascii="宋体" w:hAnsi="宋体"/>
                <w:color w:val="000000"/>
                <w:sz w:val="24"/>
              </w:rPr>
            </w:pPr>
            <w:r>
              <w:rPr>
                <w:rFonts w:hint="eastAsia" w:ascii="宋体" w:hAnsi="宋体"/>
                <w:color w:val="000000"/>
                <w:sz w:val="24"/>
              </w:rPr>
              <w:t>项目方案（</w:t>
            </w:r>
            <w:r>
              <w:rPr>
                <w:rFonts w:hint="eastAsia" w:ascii="宋体" w:hAnsi="宋体"/>
                <w:color w:val="000000"/>
                <w:sz w:val="24"/>
                <w:lang w:val="en-US" w:eastAsia="zh-CN"/>
              </w:rPr>
              <w:t>15</w:t>
            </w:r>
            <w:r>
              <w:rPr>
                <w:rFonts w:hint="eastAsia" w:ascii="宋体" w:hAnsi="宋体"/>
                <w:color w:val="000000"/>
                <w:sz w:val="24"/>
              </w:rPr>
              <w:t>分）</w:t>
            </w:r>
          </w:p>
        </w:tc>
        <w:tc>
          <w:tcPr>
            <w:tcW w:w="6664" w:type="dxa"/>
            <w:vAlign w:val="center"/>
          </w:tcPr>
          <w:p w14:paraId="45E26B7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1A42754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w:t>
            </w:r>
            <w:r>
              <w:rPr>
                <w:rFonts w:hint="eastAsia" w:ascii="宋体" w:hAnsi="宋体"/>
                <w:color w:val="000000"/>
                <w:sz w:val="24"/>
                <w:lang w:val="en-US" w:eastAsia="zh-CN"/>
              </w:rPr>
              <w:t>12-</w:t>
            </w:r>
            <w:r>
              <w:rPr>
                <w:rFonts w:hint="eastAsia" w:ascii="宋体" w:hAnsi="宋体"/>
                <w:color w:val="000000"/>
                <w:sz w:val="24"/>
              </w:rPr>
              <w:t>1</w:t>
            </w:r>
            <w:r>
              <w:rPr>
                <w:rFonts w:hint="eastAsia" w:ascii="宋体" w:hAnsi="宋体"/>
                <w:color w:val="000000"/>
                <w:sz w:val="24"/>
                <w:lang w:val="en-US" w:eastAsia="zh-CN"/>
              </w:rPr>
              <w:t>5</w:t>
            </w:r>
            <w:r>
              <w:rPr>
                <w:rFonts w:hint="eastAsia" w:ascii="宋体" w:hAnsi="宋体"/>
                <w:color w:val="000000"/>
                <w:sz w:val="24"/>
              </w:rPr>
              <w:t>分；</w:t>
            </w:r>
          </w:p>
          <w:p w14:paraId="029ACB1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方案较详细，可行性较高，实用性较强，得</w:t>
            </w:r>
            <w:r>
              <w:rPr>
                <w:rFonts w:hint="eastAsia" w:ascii="宋体" w:hAnsi="宋体"/>
                <w:color w:val="000000"/>
                <w:sz w:val="24"/>
                <w:lang w:val="en-US" w:eastAsia="zh-CN"/>
              </w:rPr>
              <w:t>8-11</w:t>
            </w:r>
            <w:r>
              <w:rPr>
                <w:rFonts w:hint="eastAsia" w:ascii="宋体" w:hAnsi="宋体"/>
                <w:color w:val="000000"/>
                <w:sz w:val="24"/>
              </w:rPr>
              <w:t>分；</w:t>
            </w:r>
          </w:p>
          <w:p w14:paraId="65DF7181">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w:t>
            </w:r>
            <w:r>
              <w:rPr>
                <w:rFonts w:hint="eastAsia" w:ascii="宋体" w:hAnsi="宋体"/>
                <w:color w:val="000000"/>
                <w:sz w:val="24"/>
                <w:lang w:val="en-US" w:eastAsia="zh-CN"/>
              </w:rPr>
              <w:t>一般</w:t>
            </w:r>
            <w:r>
              <w:rPr>
                <w:rFonts w:hint="eastAsia" w:ascii="宋体" w:hAnsi="宋体"/>
                <w:color w:val="000000"/>
                <w:sz w:val="24"/>
              </w:rPr>
              <w:t>，可行性</w:t>
            </w:r>
            <w:r>
              <w:rPr>
                <w:rFonts w:hint="eastAsia" w:ascii="宋体" w:hAnsi="宋体"/>
                <w:color w:val="000000"/>
                <w:sz w:val="24"/>
                <w:lang w:val="en-US" w:eastAsia="zh-CN"/>
              </w:rPr>
              <w:t>一般</w:t>
            </w:r>
            <w:r>
              <w:rPr>
                <w:rFonts w:hint="eastAsia" w:ascii="宋体" w:hAnsi="宋体"/>
                <w:color w:val="000000"/>
                <w:sz w:val="24"/>
              </w:rPr>
              <w:t>，实用性</w:t>
            </w:r>
            <w:r>
              <w:rPr>
                <w:rFonts w:hint="eastAsia" w:ascii="宋体" w:hAnsi="宋体"/>
                <w:color w:val="000000"/>
                <w:sz w:val="24"/>
                <w:lang w:val="en-US" w:eastAsia="zh-CN"/>
              </w:rPr>
              <w:t>一般</w:t>
            </w:r>
            <w:r>
              <w:rPr>
                <w:rFonts w:hint="eastAsia" w:ascii="宋体" w:hAnsi="宋体"/>
                <w:color w:val="000000"/>
                <w:sz w:val="24"/>
              </w:rPr>
              <w:t>，得</w:t>
            </w:r>
            <w:r>
              <w:rPr>
                <w:rFonts w:hint="eastAsia" w:ascii="宋体" w:hAnsi="宋体"/>
                <w:color w:val="000000"/>
                <w:sz w:val="24"/>
                <w:lang w:val="en-US" w:eastAsia="zh-CN"/>
              </w:rPr>
              <w:t>4-7</w:t>
            </w:r>
            <w:r>
              <w:rPr>
                <w:rFonts w:hint="eastAsia" w:ascii="宋体" w:hAnsi="宋体"/>
                <w:color w:val="000000"/>
                <w:sz w:val="24"/>
              </w:rPr>
              <w:t>分</w:t>
            </w:r>
          </w:p>
          <w:p w14:paraId="2CC64A9D">
            <w:pPr>
              <w:tabs>
                <w:tab w:val="left" w:pos="840"/>
                <w:tab w:val="left" w:pos="1050"/>
              </w:tabs>
              <w:adjustRightInd w:val="0"/>
              <w:snapToGrid w:val="0"/>
              <w:spacing w:line="460" w:lineRule="exact"/>
              <w:jc w:val="left"/>
              <w:rPr>
                <w:rFonts w:hint="eastAsia" w:ascii="宋体" w:hAnsi="宋体" w:eastAsia="宋体"/>
                <w:color w:val="000000"/>
                <w:sz w:val="24"/>
                <w:lang w:eastAsia="zh-CN"/>
              </w:rPr>
            </w:pPr>
            <w:r>
              <w:rPr>
                <w:rFonts w:hint="eastAsia" w:ascii="宋体" w:hAnsi="宋体"/>
                <w:color w:val="000000"/>
                <w:sz w:val="24"/>
              </w:rPr>
              <w:t>方案不详细，可行性不高，实用性差，</w:t>
            </w:r>
            <w:r>
              <w:rPr>
                <w:rFonts w:hint="eastAsia" w:ascii="宋体" w:hAnsi="宋体"/>
                <w:color w:val="000000"/>
                <w:sz w:val="24"/>
                <w:lang w:val="en-US" w:eastAsia="zh-CN"/>
              </w:rPr>
              <w:t>不得分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5</w:t>
            </w:r>
          </w:p>
        </w:tc>
        <w:tc>
          <w:tcPr>
            <w:tcW w:w="2419" w:type="dxa"/>
            <w:noWrap/>
            <w:vAlign w:val="center"/>
          </w:tcPr>
          <w:p w14:paraId="13A1F9CF">
            <w:pPr>
              <w:widowControl/>
              <w:spacing w:line="400" w:lineRule="exact"/>
              <w:jc w:val="center"/>
              <w:rPr>
                <w:rFonts w:hint="eastAsia" w:ascii="宋体" w:hAnsi="宋体"/>
                <w:color w:val="000000"/>
                <w:sz w:val="24"/>
              </w:rPr>
            </w:pPr>
            <w:r>
              <w:rPr>
                <w:rFonts w:hint="eastAsia" w:ascii="宋体" w:hAnsi="宋体"/>
                <w:color w:val="000000"/>
                <w:sz w:val="24"/>
              </w:rPr>
              <w:t>理赔流程与时效（1</w:t>
            </w:r>
            <w:r>
              <w:rPr>
                <w:rFonts w:hint="eastAsia" w:ascii="宋体" w:hAnsi="宋体"/>
                <w:color w:val="000000"/>
                <w:sz w:val="24"/>
                <w:lang w:val="en-US" w:eastAsia="zh-CN"/>
              </w:rPr>
              <w:t>5</w:t>
            </w:r>
            <w:r>
              <w:rPr>
                <w:rFonts w:hint="eastAsia" w:ascii="宋体" w:hAnsi="宋体"/>
                <w:color w:val="000000"/>
                <w:sz w:val="24"/>
              </w:rPr>
              <w:t>分）</w:t>
            </w:r>
          </w:p>
        </w:tc>
        <w:tc>
          <w:tcPr>
            <w:tcW w:w="6664" w:type="dxa"/>
            <w:vAlign w:val="center"/>
          </w:tcPr>
          <w:p w14:paraId="55BCA0E5">
            <w:pPr>
              <w:widowControl/>
              <w:spacing w:line="400" w:lineRule="exact"/>
              <w:jc w:val="left"/>
              <w:rPr>
                <w:rFonts w:hint="eastAsia" w:ascii="宋体" w:hAnsi="宋体"/>
                <w:color w:val="000000"/>
                <w:sz w:val="24"/>
              </w:rPr>
            </w:pPr>
            <w:r>
              <w:rPr>
                <w:rFonts w:hint="eastAsia" w:ascii="宋体" w:hAnsi="宋体"/>
                <w:color w:val="000000"/>
                <w:sz w:val="24"/>
              </w:rPr>
              <w:t>投标供应商</w:t>
            </w:r>
            <w:r>
              <w:rPr>
                <w:rFonts w:hint="eastAsia" w:ascii="宋体" w:hAnsi="宋体"/>
                <w:color w:val="000000"/>
                <w:sz w:val="24"/>
                <w:lang w:val="en-US" w:eastAsia="zh-CN"/>
              </w:rPr>
              <w:t>提供</w:t>
            </w:r>
            <w:r>
              <w:rPr>
                <w:rFonts w:hint="eastAsia" w:ascii="宋体" w:hAnsi="宋体"/>
                <w:color w:val="000000"/>
                <w:sz w:val="24"/>
              </w:rPr>
              <w:t>理赔流程的便捷性、透明度以及理赔时效</w:t>
            </w:r>
            <w:r>
              <w:rPr>
                <w:rFonts w:hint="eastAsia" w:ascii="宋体" w:hAnsi="宋体"/>
                <w:color w:val="000000"/>
                <w:sz w:val="24"/>
                <w:lang w:val="en-US" w:eastAsia="zh-CN"/>
              </w:rPr>
              <w:t>方案</w:t>
            </w:r>
            <w:r>
              <w:rPr>
                <w:rFonts w:hint="eastAsia" w:ascii="宋体" w:hAnsi="宋体"/>
                <w:color w:val="000000"/>
                <w:sz w:val="24"/>
              </w:rPr>
              <w:t>。</w:t>
            </w:r>
          </w:p>
          <w:p w14:paraId="7FFE06E8">
            <w:pPr>
              <w:widowControl/>
              <w:spacing w:line="400" w:lineRule="exact"/>
              <w:jc w:val="left"/>
              <w:rPr>
                <w:rFonts w:hint="eastAsia" w:ascii="宋体" w:hAnsi="宋体"/>
                <w:color w:val="000000"/>
                <w:sz w:val="24"/>
              </w:rPr>
            </w:pPr>
            <w:r>
              <w:rPr>
                <w:rFonts w:hint="eastAsia" w:ascii="宋体" w:hAnsi="宋体"/>
                <w:color w:val="000000"/>
                <w:sz w:val="24"/>
              </w:rPr>
              <w:t xml:space="preserve">理赔流程简洁明了，承诺在较短时间内完成理赔审核与支付的，得 </w:t>
            </w:r>
            <w:r>
              <w:rPr>
                <w:rFonts w:hint="eastAsia" w:ascii="宋体" w:hAnsi="宋体"/>
                <w:color w:val="000000"/>
                <w:sz w:val="24"/>
                <w:lang w:val="en-US" w:eastAsia="zh-CN"/>
              </w:rPr>
              <w:t>11</w:t>
            </w:r>
            <w:r>
              <w:rPr>
                <w:rFonts w:hint="eastAsia" w:ascii="宋体" w:hAnsi="宋体"/>
                <w:color w:val="000000"/>
                <w:sz w:val="24"/>
              </w:rPr>
              <w:t xml:space="preserve">- </w:t>
            </w:r>
            <w:r>
              <w:rPr>
                <w:rFonts w:hint="eastAsia" w:ascii="宋体" w:hAnsi="宋体"/>
                <w:color w:val="000000"/>
                <w:sz w:val="24"/>
                <w:lang w:val="en-US" w:eastAsia="zh-CN"/>
              </w:rPr>
              <w:t>15</w:t>
            </w:r>
            <w:r>
              <w:rPr>
                <w:rFonts w:hint="eastAsia" w:ascii="宋体" w:hAnsi="宋体"/>
                <w:color w:val="000000"/>
                <w:sz w:val="24"/>
              </w:rPr>
              <w:t>分；</w:t>
            </w:r>
          </w:p>
          <w:p w14:paraId="07AA216F">
            <w:pPr>
              <w:widowControl/>
              <w:spacing w:line="400" w:lineRule="exact"/>
              <w:jc w:val="left"/>
              <w:rPr>
                <w:rFonts w:hint="eastAsia" w:ascii="宋体" w:hAnsi="宋体"/>
                <w:color w:val="000000"/>
                <w:sz w:val="24"/>
              </w:rPr>
            </w:pPr>
            <w:r>
              <w:rPr>
                <w:rFonts w:hint="eastAsia" w:ascii="宋体" w:hAnsi="宋体"/>
                <w:color w:val="000000"/>
                <w:sz w:val="24"/>
              </w:rPr>
              <w:t>理赔流程</w:t>
            </w:r>
            <w:r>
              <w:rPr>
                <w:rFonts w:hint="eastAsia" w:ascii="宋体" w:hAnsi="宋体"/>
                <w:color w:val="000000"/>
                <w:sz w:val="24"/>
                <w:lang w:val="en-US" w:eastAsia="zh-CN"/>
              </w:rPr>
              <w:t>一般</w:t>
            </w:r>
            <w:r>
              <w:rPr>
                <w:rFonts w:hint="eastAsia" w:ascii="宋体" w:hAnsi="宋体"/>
                <w:color w:val="000000"/>
                <w:sz w:val="24"/>
              </w:rPr>
              <w:t>，承诺完成理赔审核与支付的</w:t>
            </w:r>
            <w:r>
              <w:rPr>
                <w:rFonts w:hint="eastAsia" w:ascii="宋体" w:hAnsi="宋体"/>
                <w:color w:val="000000"/>
                <w:sz w:val="24"/>
                <w:lang w:val="en-US" w:eastAsia="zh-CN"/>
              </w:rPr>
              <w:t>时间一般</w:t>
            </w:r>
            <w:r>
              <w:rPr>
                <w:rFonts w:hint="eastAsia" w:ascii="宋体" w:hAnsi="宋体"/>
                <w:color w:val="000000"/>
                <w:sz w:val="24"/>
              </w:rPr>
              <w:t>，得 7 - 10 分；</w:t>
            </w:r>
          </w:p>
          <w:p w14:paraId="1326DC31">
            <w:pPr>
              <w:widowControl/>
              <w:spacing w:line="400" w:lineRule="exact"/>
              <w:jc w:val="left"/>
              <w:rPr>
                <w:rFonts w:hint="eastAsia" w:ascii="宋体" w:hAnsi="宋体"/>
                <w:color w:val="000000"/>
                <w:sz w:val="24"/>
              </w:rPr>
            </w:pPr>
            <w:r>
              <w:rPr>
                <w:rFonts w:hint="eastAsia" w:ascii="宋体" w:hAnsi="宋体"/>
                <w:color w:val="000000"/>
                <w:sz w:val="24"/>
              </w:rPr>
              <w:t>理赔流程较为繁琐或理赔时效较长的，得 3 - 6 分；</w:t>
            </w:r>
          </w:p>
          <w:p w14:paraId="2635CAEB">
            <w:pPr>
              <w:widowControl/>
              <w:spacing w:line="400" w:lineRule="exact"/>
              <w:jc w:val="left"/>
              <w:rPr>
                <w:rFonts w:hint="eastAsia" w:ascii="宋体" w:hAnsi="宋体"/>
                <w:color w:val="000000"/>
                <w:sz w:val="24"/>
              </w:rPr>
            </w:pPr>
            <w:r>
              <w:rPr>
                <w:rFonts w:hint="eastAsia" w:ascii="宋体" w:hAnsi="宋体"/>
                <w:color w:val="000000"/>
                <w:sz w:val="24"/>
              </w:rPr>
              <w:t>理赔流程不清晰或未明确理赔时效的，得 0 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03E1EAC0">
      <w:pPr>
        <w:spacing w:line="360" w:lineRule="auto"/>
        <w:ind w:firstLine="560" w:firstLineChars="200"/>
        <w:rPr>
          <w:rFonts w:hint="eastAsia" w:ascii="宋体" w:hAnsi="宋体"/>
          <w:color w:val="000000"/>
          <w:kern w:val="0"/>
          <w:sz w:val="28"/>
          <w:szCs w:val="28"/>
        </w:rPr>
      </w:pPr>
      <w:r>
        <w:rPr>
          <w:rFonts w:hint="eastAsia" w:ascii="宋体" w:hAnsi="宋体"/>
          <w:color w:val="000000"/>
          <w:kern w:val="0"/>
          <w:sz w:val="28"/>
          <w:szCs w:val="28"/>
          <w:lang w:val="en-US" w:eastAsia="zh-CN"/>
        </w:rPr>
        <w:t>1、</w:t>
      </w:r>
      <w:r>
        <w:rPr>
          <w:rFonts w:hint="eastAsia" w:ascii="宋体" w:hAnsi="宋体"/>
          <w:color w:val="000000"/>
          <w:kern w:val="0"/>
          <w:sz w:val="28"/>
          <w:szCs w:val="28"/>
        </w:rPr>
        <w:t>20</w:t>
      </w:r>
      <w:r>
        <w:rPr>
          <w:rFonts w:hint="eastAsia" w:ascii="宋体" w:hAnsi="宋体"/>
          <w:color w:val="000000"/>
          <w:kern w:val="0"/>
          <w:sz w:val="28"/>
          <w:szCs w:val="28"/>
          <w:lang w:val="en-US" w:eastAsia="zh-CN"/>
        </w:rPr>
        <w:t>23</w:t>
      </w:r>
      <w:r>
        <w:rPr>
          <w:rFonts w:hint="eastAsia" w:ascii="宋体" w:hAnsi="宋体"/>
          <w:color w:val="000000"/>
          <w:kern w:val="0"/>
          <w:sz w:val="28"/>
          <w:szCs w:val="28"/>
        </w:rPr>
        <w:t>级学生实习保险</w:t>
      </w:r>
      <w:r>
        <w:rPr>
          <w:rFonts w:hint="eastAsia" w:ascii="宋体" w:hAnsi="宋体"/>
          <w:color w:val="000000"/>
          <w:kern w:val="0"/>
          <w:sz w:val="28"/>
          <w:szCs w:val="28"/>
          <w:lang w:eastAsia="zh-CN"/>
        </w:rPr>
        <w:t>。</w:t>
      </w:r>
      <w:r>
        <w:rPr>
          <w:rFonts w:hint="eastAsia" w:ascii="宋体" w:hAnsi="宋体"/>
          <w:color w:val="000000"/>
          <w:kern w:val="0"/>
          <w:sz w:val="28"/>
          <w:szCs w:val="28"/>
        </w:rPr>
        <w:t>投保时间从202</w:t>
      </w:r>
      <w:r>
        <w:rPr>
          <w:rFonts w:hint="eastAsia" w:ascii="宋体" w:hAnsi="宋体"/>
          <w:color w:val="000000"/>
          <w:kern w:val="0"/>
          <w:sz w:val="28"/>
          <w:szCs w:val="28"/>
          <w:lang w:val="en-US" w:eastAsia="zh-CN"/>
        </w:rPr>
        <w:t>5</w:t>
      </w:r>
      <w:r>
        <w:rPr>
          <w:rFonts w:hint="eastAsia" w:ascii="宋体" w:hAnsi="宋体"/>
          <w:color w:val="000000"/>
          <w:kern w:val="0"/>
          <w:sz w:val="28"/>
          <w:szCs w:val="28"/>
        </w:rPr>
        <w:t>年7月1日至202</w:t>
      </w:r>
      <w:r>
        <w:rPr>
          <w:rFonts w:hint="eastAsia" w:ascii="宋体" w:hAnsi="宋体"/>
          <w:color w:val="000000"/>
          <w:kern w:val="0"/>
          <w:sz w:val="28"/>
          <w:szCs w:val="28"/>
          <w:lang w:val="en-US" w:eastAsia="zh-CN"/>
        </w:rPr>
        <w:t>6</w:t>
      </w:r>
      <w:r>
        <w:rPr>
          <w:rFonts w:hint="eastAsia" w:ascii="宋体" w:hAnsi="宋体"/>
          <w:color w:val="000000"/>
          <w:kern w:val="0"/>
          <w:sz w:val="28"/>
          <w:szCs w:val="28"/>
        </w:rPr>
        <w:t>年6月30日，投保学生约4</w:t>
      </w:r>
      <w:r>
        <w:rPr>
          <w:rFonts w:hint="eastAsia" w:ascii="宋体" w:hAnsi="宋体"/>
          <w:color w:val="000000"/>
          <w:kern w:val="0"/>
          <w:sz w:val="28"/>
          <w:szCs w:val="28"/>
          <w:lang w:val="en-US" w:eastAsia="zh-CN"/>
        </w:rPr>
        <w:t>710</w:t>
      </w:r>
      <w:r>
        <w:rPr>
          <w:rFonts w:hint="eastAsia" w:ascii="宋体" w:hAnsi="宋体"/>
          <w:color w:val="000000"/>
          <w:kern w:val="0"/>
          <w:sz w:val="28"/>
          <w:szCs w:val="28"/>
        </w:rPr>
        <w:t>人（以实际投保学生数为准），投保之日起一年。</w:t>
      </w:r>
    </w:p>
    <w:p w14:paraId="48738DCA">
      <w:pPr>
        <w:numPr>
          <w:ilvl w:val="0"/>
          <w:numId w:val="1"/>
        </w:numPr>
        <w:spacing w:line="360" w:lineRule="auto"/>
        <w:ind w:firstLine="560" w:firstLineChars="20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需采购险种：职业院校学生实习责任险（含附加险：学生第三者责任险）。</w:t>
      </w:r>
    </w:p>
    <w:p w14:paraId="438B66E8">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二、服务要求</w:t>
      </w:r>
    </w:p>
    <w:p w14:paraId="253BC3E9">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1.学生实习责任险保险责任：</w:t>
      </w:r>
    </w:p>
    <w:p w14:paraId="677AF7FD">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保险期内，在中华人民共和国境内(港澳台地区除外),被保险人的注册学生在实习期间，因实习工作原因遭受意外事故而导致伤残或死亡，依照中华人民共和国（不包括港澳台地区）法律应由被保险人承担的经济赔偿责任，保险人按照本保险合同约定负责赔偿。</w:t>
      </w:r>
    </w:p>
    <w:p w14:paraId="59112AC0">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在保险期内，被保险人的注册学生在中华人民共和国境内(港澳台地区除外)实习期间发生的伤害，包括因发生下列情形导致伤残或死亡，对被保险人需承担的经济赔偿责任，保险人负责赔偿：</w:t>
      </w:r>
    </w:p>
    <w:p w14:paraId="16C2FD74">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（1）在往返于学校和实习单位的途中遭受交通事故或意外伤害；</w:t>
      </w:r>
    </w:p>
    <w:p w14:paraId="0356C1F8">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（2）在工作期间和工作场所内，因工作原因遭受事故伤害；</w:t>
      </w:r>
    </w:p>
    <w:p w14:paraId="1004298E">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（3）工作时间前后在工作场所内，从事与工作有关的预备性或者收尾性工作遭受事故伤害；</w:t>
      </w:r>
    </w:p>
    <w:p w14:paraId="40AAFB08">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（4）在工作时间和工作场所内，因履行工作职责遭受暴力等意外伤害；</w:t>
      </w:r>
    </w:p>
    <w:p w14:paraId="4DA50885">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（5）因工外出期间，由于工作原因遭受伤害或者发生事故下落不明；</w:t>
      </w:r>
    </w:p>
    <w:p w14:paraId="1BAAA33D">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（6）在上下班途中，遭受交通事故或意外伤害；</w:t>
      </w:r>
    </w:p>
    <w:p w14:paraId="7FE219CC">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（7）在工作时间和工作岗位，突发疾病死亡或者在48个小时内经抢救无效死亡；</w:t>
      </w:r>
    </w:p>
    <w:p w14:paraId="6DFAF527">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（8）在抢险救灾等维护国家利益、公共利益活动中遭受伤害；</w:t>
      </w:r>
    </w:p>
    <w:p w14:paraId="24ECB181">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（9）在实习期间，由于火灾、爆炸、煤气中毒、高空物体坠落遭受意外伤害；</w:t>
      </w:r>
    </w:p>
    <w:p w14:paraId="0678ADDA">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（10）法律、行政法规规定应当由被保险人承担经济赔偿责任的其他情形。</w:t>
      </w:r>
    </w:p>
    <w:p w14:paraId="787E5717">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2.以下情形，不得免除责任：</w:t>
      </w:r>
    </w:p>
    <w:p w14:paraId="299AAE1D">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（1）学生在实习时非故意行为存在操作不当而造成的自身伤害；</w:t>
      </w:r>
    </w:p>
    <w:p w14:paraId="275F59B8">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（2）实习有关因素引起学生自伤自杀行为造成的伤害；</w:t>
      </w:r>
    </w:p>
    <w:p w14:paraId="2D481591">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（3）实习期间实习单位或学校组织的合法文体娱乐活动过程中造成的伤害；</w:t>
      </w:r>
    </w:p>
    <w:p w14:paraId="090F7723">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（4）学生正当防卫行为造成的伤害。</w:t>
      </w:r>
    </w:p>
    <w:p w14:paraId="6C05DCA7">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3.学生实习第三者责任险保险责任：</w:t>
      </w:r>
    </w:p>
    <w:p w14:paraId="12ECC7C7">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在保险期间内，在中华人民共和国境内(港澳台地区除外),被保险人的注册学生在实习期间因疏忽或过失造成其他第三者的人身伤害，依照中华人民共和国法律（不包括港澳台地区法律）应由被保险人承担的经济赔偿责任，保险人负责赔偿。</w:t>
      </w:r>
    </w:p>
    <w:p w14:paraId="0EB6370C">
      <w:pPr>
        <w:widowControl w:val="0"/>
        <w:numPr>
          <w:ilvl w:val="0"/>
          <w:numId w:val="0"/>
        </w:numPr>
        <w:spacing w:line="360" w:lineRule="auto"/>
        <w:jc w:val="both"/>
        <w:rPr>
          <w:rFonts w:hint="eastAsia" w:ascii="宋体" w:hAnsi="宋体"/>
          <w:color w:val="000000"/>
          <w:kern w:val="0"/>
          <w:sz w:val="28"/>
          <w:szCs w:val="28"/>
          <w:lang w:val="en-US" w:eastAsia="zh-CN"/>
        </w:rPr>
      </w:pPr>
    </w:p>
    <w:p w14:paraId="5FAC1C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三、保费计算要求</w:t>
      </w:r>
    </w:p>
    <w:p w14:paraId="619A1DC8">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1.保费计算需列明公式及计算步骤、保险费计算应按照投标人公司制定的费率规章中的保险费计算方法2。未按指定要求作出的保险费报价，将视为未对招标文件作出实质性响应而被拒绝，其后果由投标人自负。</w:t>
      </w:r>
    </w:p>
    <w:p w14:paraId="70757D49">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2.本项目所有的保险内容、范围、免责等事项必须符合国家相关法律规范。</w:t>
      </w:r>
    </w:p>
    <w:p w14:paraId="66544E7B">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3.各投标人在计算保险费时所引用的保险费率表和条款必须是已经中国保监会（或江苏保监局）批准的、本地适用的投标人公司的毕业生实习责任险费率表和条款。</w:t>
      </w:r>
    </w:p>
    <w:p w14:paraId="4B53B35A">
      <w:pPr>
        <w:tabs>
          <w:tab w:val="left" w:pos="630"/>
          <w:tab w:val="left" w:pos="735"/>
          <w:tab w:val="left" w:pos="945"/>
        </w:tabs>
        <w:spacing w:line="360" w:lineRule="auto"/>
        <w:ind w:firstLine="560" w:firstLineChars="200"/>
        <w:rPr>
          <w:rFonts w:ascii="宋体" w:hAnsi="宋体"/>
          <w:color w:val="000000"/>
          <w:kern w:val="0"/>
          <w:sz w:val="28"/>
          <w:szCs w:val="28"/>
        </w:rPr>
      </w:pPr>
      <w:r>
        <w:rPr>
          <w:rFonts w:hint="eastAsia" w:ascii="宋体" w:hAnsi="宋体"/>
          <w:color w:val="000000"/>
          <w:kern w:val="0"/>
          <w:sz w:val="28"/>
          <w:szCs w:val="28"/>
        </w:rPr>
        <w:t>4.各投标人必须清楚列明保险费报价计算过程，包括保险费计算公式、计算步骤、引用的费率规章条款等。如有必要，投标人可对保费计算过程或结果作适当的文字补充说明。</w:t>
      </w:r>
    </w:p>
    <w:p w14:paraId="1ACE6E66">
      <w:pPr>
        <w:tabs>
          <w:tab w:val="left" w:pos="630"/>
          <w:tab w:val="left" w:pos="735"/>
          <w:tab w:val="left" w:pos="945"/>
        </w:tabs>
        <w:spacing w:line="360" w:lineRule="auto"/>
        <w:ind w:firstLine="560" w:firstLineChars="200"/>
        <w:rPr>
          <w:rFonts w:hint="eastAsia" w:ascii="宋体" w:hAnsi="宋体"/>
          <w:color w:val="000000"/>
          <w:kern w:val="0"/>
          <w:sz w:val="28"/>
          <w:szCs w:val="28"/>
          <w:lang w:val="en-US" w:eastAsia="zh-CN"/>
        </w:rPr>
      </w:pPr>
      <w:r>
        <w:rPr>
          <w:rFonts w:hint="eastAsia" w:ascii="宋体" w:hAnsi="宋体"/>
          <w:color w:val="000000"/>
          <w:kern w:val="0"/>
          <w:sz w:val="28"/>
          <w:szCs w:val="28"/>
        </w:rPr>
        <w:t>5.投标人对毕业生实习责任险保险费计算必须准确无误，任何计算错误都将可能影响投标人的中标机会，其后果由投标人自负。</w:t>
      </w:r>
    </w:p>
    <w:p w14:paraId="259F22D5">
      <w:pPr>
        <w:numPr>
          <w:ilvl w:val="0"/>
          <w:numId w:val="0"/>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付款方式：</w:t>
      </w:r>
      <w:r>
        <w:rPr>
          <w:rFonts w:hint="eastAsia" w:ascii="宋体" w:hAnsi="宋体"/>
          <w:sz w:val="28"/>
          <w:szCs w:val="28"/>
        </w:rPr>
        <w:t>合同签订后按照实际参保人数20个工作日内一次付清</w:t>
      </w:r>
      <w:r>
        <w:rPr>
          <w:rFonts w:hint="eastAsia" w:ascii="宋体" w:hAnsi="宋体"/>
          <w:b/>
          <w:color w:val="000000"/>
          <w:kern w:val="0"/>
          <w:sz w:val="28"/>
          <w:szCs w:val="28"/>
        </w:rPr>
        <w:t>。</w:t>
      </w:r>
    </w:p>
    <w:p w14:paraId="243D1B60">
      <w:pPr>
        <w:numPr>
          <w:ilvl w:val="0"/>
          <w:numId w:val="0"/>
        </w:numPr>
        <w:tabs>
          <w:tab w:val="left" w:pos="709"/>
          <w:tab w:val="left" w:pos="993"/>
          <w:tab w:val="left" w:pos="1418"/>
        </w:tabs>
        <w:rPr>
          <w:rFonts w:hint="eastAsia" w:ascii="宋体" w:hAnsi="宋体"/>
          <w:b/>
          <w:color w:val="000000"/>
          <w:kern w:val="0"/>
          <w:sz w:val="28"/>
          <w:szCs w:val="28"/>
        </w:rPr>
      </w:pPr>
    </w:p>
    <w:p w14:paraId="25324DC8">
      <w:pPr>
        <w:numPr>
          <w:ilvl w:val="0"/>
          <w:numId w:val="0"/>
        </w:numPr>
        <w:tabs>
          <w:tab w:val="left" w:pos="709"/>
          <w:tab w:val="left" w:pos="993"/>
          <w:tab w:val="left" w:pos="1418"/>
        </w:tabs>
        <w:rPr>
          <w:rFonts w:hint="eastAsia" w:ascii="宋体" w:hAnsi="宋体"/>
          <w:b/>
          <w:color w:val="000000"/>
          <w:kern w:val="0"/>
          <w:sz w:val="28"/>
          <w:szCs w:val="28"/>
        </w:rPr>
      </w:pPr>
    </w:p>
    <w:p w14:paraId="5419A08B">
      <w:pPr>
        <w:numPr>
          <w:ilvl w:val="0"/>
          <w:numId w:val="0"/>
        </w:numPr>
        <w:tabs>
          <w:tab w:val="left" w:pos="709"/>
          <w:tab w:val="left" w:pos="993"/>
          <w:tab w:val="left" w:pos="1418"/>
        </w:tabs>
        <w:rPr>
          <w:rFonts w:hint="eastAsia" w:ascii="宋体" w:hAnsi="宋体"/>
          <w:b/>
          <w:color w:val="000000"/>
          <w:kern w:val="0"/>
          <w:sz w:val="28"/>
          <w:szCs w:val="28"/>
        </w:rPr>
      </w:pPr>
    </w:p>
    <w:p w14:paraId="53B82B6B">
      <w:pPr>
        <w:numPr>
          <w:ilvl w:val="0"/>
          <w:numId w:val="0"/>
        </w:numPr>
        <w:tabs>
          <w:tab w:val="left" w:pos="709"/>
          <w:tab w:val="left" w:pos="993"/>
          <w:tab w:val="left" w:pos="1418"/>
        </w:tabs>
        <w:rPr>
          <w:rFonts w:hint="eastAsia" w:ascii="宋体" w:hAnsi="宋体"/>
          <w:b/>
          <w:color w:val="000000"/>
          <w:kern w:val="0"/>
          <w:sz w:val="28"/>
          <w:szCs w:val="28"/>
        </w:rPr>
      </w:pPr>
    </w:p>
    <w:p w14:paraId="611C2FEA">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833CF8"/>
    <w:multiLevelType w:val="singleLevel"/>
    <w:tmpl w:val="5D833CF8"/>
    <w:lvl w:ilvl="0" w:tentative="0">
      <w:start w:val="2"/>
      <w:numFmt w:val="decimal"/>
      <w:suff w:val="nothing"/>
      <w:lvlText w:val="%1、"/>
      <w:lvlJc w:val="left"/>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18645220"/>
    <w:rsid w:val="23484126"/>
    <w:rsid w:val="28E50406"/>
    <w:rsid w:val="35631613"/>
    <w:rsid w:val="37CD55EE"/>
    <w:rsid w:val="3A703671"/>
    <w:rsid w:val="41016AA5"/>
    <w:rsid w:val="523B78D6"/>
    <w:rsid w:val="68912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7489</Words>
  <Characters>8030</Characters>
  <Lines>65</Lines>
  <Paragraphs>18</Paragraphs>
  <TotalTime>38</TotalTime>
  <ScaleCrop>false</ScaleCrop>
  <LinksUpToDate>false</LinksUpToDate>
  <CharactersWithSpaces>9375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2025-05-12T01:26:51Z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AF90CAA3DCDF4305B01F37F56CD75483_13</vt:lpwstr>
  </property>
  <property fmtid="{D5CDD505-2E9C-101B-9397-08002B2CF9AE}" pid="4" name="KSOTemplateDocerSaveRecord">
    <vt:lpwstr>eyJoZGlkIjoiNmUxYzRjMmE0NzkyMzQzMTk4OTkzZTZiNmMwNWQ3ZDAiLCJ1c2VySWQiOiIxNjExNjg4MDYzIn0=</vt:lpwstr>
  </property>
</Properties>
</file>