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ascii="黑体" w:hAnsi="华文中宋" w:eastAsia="黑体"/>
          <w:bCs/>
          <w:color w:val="0D0D0D"/>
          <w:spacing w:val="20"/>
          <w:sz w:val="52"/>
          <w:szCs w:val="52"/>
        </w:rPr>
      </w:pPr>
      <w:r>
        <w:pict>
          <v:line id="直接连接符 1" o:spid="_x0000_s1028"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ascii="华文中宋" w:hAnsi="华文中宋" w:eastAsia="华文中宋"/>
          <w:bCs/>
          <w:color w:val="0D0D0D"/>
          <w:sz w:val="30"/>
        </w:rPr>
      </w:pPr>
    </w:p>
    <w:p w14:paraId="0EC30F79">
      <w:pPr>
        <w:rPr>
          <w:rFonts w:ascii="华文中宋" w:hAnsi="华文中宋" w:eastAsia="华文中宋"/>
          <w:bCs/>
          <w:color w:val="0D0D0D"/>
          <w:sz w:val="30"/>
        </w:rPr>
      </w:pPr>
    </w:p>
    <w:p w14:paraId="6C355F5C">
      <w:pPr>
        <w:spacing w:line="300" w:lineRule="auto"/>
        <w:rPr>
          <w:rFonts w:ascii="宋体" w:hAnsi="宋体"/>
          <w:color w:val="000000"/>
          <w:sz w:val="28"/>
          <w:szCs w:val="28"/>
        </w:rPr>
      </w:pPr>
      <w:r>
        <w:rPr>
          <w:rFonts w:hint="eastAsia" w:ascii="宋体" w:hAnsi="宋体"/>
          <w:color w:val="000000"/>
          <w:sz w:val="28"/>
          <w:szCs w:val="28"/>
        </w:rPr>
        <w:t>项目名称：微电子学院机房改造</w:t>
      </w:r>
      <w:r>
        <w:rPr>
          <w:rFonts w:hint="eastAsia" w:ascii="宋体" w:hAnsi="宋体"/>
          <w:color w:val="000000"/>
          <w:sz w:val="28"/>
          <w:szCs w:val="28"/>
          <w:lang w:eastAsia="zh-CN"/>
        </w:rPr>
        <w:t>（</w:t>
      </w:r>
      <w:r>
        <w:rPr>
          <w:rFonts w:hint="eastAsia" w:ascii="宋体" w:hAnsi="宋体"/>
          <w:color w:val="000000"/>
          <w:sz w:val="28"/>
          <w:szCs w:val="28"/>
          <w:lang w:val="en-US" w:eastAsia="zh-CN"/>
        </w:rPr>
        <w:t>二次</w:t>
      </w:r>
      <w:r>
        <w:rPr>
          <w:rFonts w:hint="eastAsia" w:ascii="宋体" w:hAnsi="宋体"/>
          <w:color w:val="000000"/>
          <w:sz w:val="28"/>
          <w:szCs w:val="28"/>
          <w:lang w:eastAsia="zh-CN"/>
        </w:rPr>
        <w:t>）</w:t>
      </w:r>
      <w:r>
        <w:rPr>
          <w:rFonts w:hint="eastAsia" w:ascii="宋体" w:hAnsi="宋体"/>
          <w:color w:val="000000"/>
          <w:sz w:val="28"/>
          <w:szCs w:val="28"/>
        </w:rPr>
        <w:t> </w:t>
      </w:r>
    </w:p>
    <w:p w14:paraId="5698346C">
      <w:pPr>
        <w:spacing w:line="300" w:lineRule="auto"/>
        <w:rPr>
          <w:rFonts w:ascii="宋体" w:hAnsi="宋体"/>
          <w:color w:val="000000"/>
          <w:sz w:val="28"/>
          <w:szCs w:val="28"/>
        </w:rPr>
      </w:pPr>
      <w:r>
        <w:rPr>
          <w:rFonts w:hint="eastAsia" w:ascii="宋体" w:hAnsi="宋体"/>
          <w:color w:val="000000"/>
          <w:sz w:val="28"/>
          <w:szCs w:val="28"/>
        </w:rPr>
        <w:t>项目编号：JSITHW2026051702</w:t>
      </w:r>
    </w:p>
    <w:p w14:paraId="281FF192">
      <w:pPr>
        <w:rPr>
          <w:rFonts w:ascii="华文中宋" w:hAnsi="华文中宋" w:eastAsia="华文中宋"/>
          <w:bCs/>
          <w:color w:val="000000"/>
          <w:sz w:val="30"/>
          <w:szCs w:val="30"/>
        </w:rPr>
      </w:pPr>
    </w:p>
    <w:p w14:paraId="6C833BD0">
      <w:pPr>
        <w:rPr>
          <w:rFonts w:ascii="华文中宋" w:hAnsi="华文中宋" w:eastAsia="华文中宋"/>
          <w:bCs/>
          <w:color w:val="000000"/>
          <w:sz w:val="32"/>
        </w:rPr>
      </w:pPr>
    </w:p>
    <w:p w14:paraId="019A893C">
      <w:pPr>
        <w:rPr>
          <w:rFonts w:ascii="华文中宋" w:hAnsi="华文中宋" w:eastAsia="华文中宋"/>
          <w:bCs/>
          <w:color w:val="000000"/>
          <w:sz w:val="32"/>
        </w:rPr>
      </w:pPr>
    </w:p>
    <w:p w14:paraId="208F8137">
      <w:pPr>
        <w:rPr>
          <w:rFonts w:ascii="华文中宋" w:hAnsi="华文中宋" w:eastAsia="华文中宋"/>
          <w:bCs/>
          <w:color w:val="000000"/>
          <w:sz w:val="32"/>
        </w:rPr>
      </w:pPr>
    </w:p>
    <w:p w14:paraId="3C5CDA39">
      <w:pPr>
        <w:rPr>
          <w:rFonts w:ascii="华文中宋" w:hAnsi="华文中宋" w:eastAsia="华文中宋"/>
          <w:bCs/>
          <w:color w:val="000000"/>
          <w:sz w:val="32"/>
        </w:rPr>
      </w:pPr>
    </w:p>
    <w:p w14:paraId="512C875F">
      <w:pPr>
        <w:rPr>
          <w:rFonts w:ascii="华文中宋" w:hAnsi="华文中宋" w:eastAsia="华文中宋"/>
          <w:bCs/>
          <w:color w:val="000000"/>
          <w:sz w:val="32"/>
        </w:rPr>
      </w:pPr>
    </w:p>
    <w:p w14:paraId="345234C2">
      <w:pPr>
        <w:rPr>
          <w:rFonts w:ascii="华文中宋" w:hAnsi="华文中宋" w:eastAsia="华文中宋"/>
          <w:bCs/>
          <w:color w:val="000000"/>
          <w:sz w:val="32"/>
        </w:rPr>
      </w:pPr>
    </w:p>
    <w:p w14:paraId="50BEC9DF">
      <w:pPr>
        <w:rPr>
          <w:rFonts w:ascii="华文中宋" w:hAnsi="华文中宋" w:eastAsia="华文中宋"/>
          <w:bCs/>
          <w:color w:val="000000"/>
          <w:sz w:val="32"/>
        </w:rPr>
      </w:pPr>
    </w:p>
    <w:p w14:paraId="42535038">
      <w:pPr>
        <w:jc w:val="left"/>
        <w:rPr>
          <w:rFonts w:ascii="华文中宋" w:hAnsi="华文中宋" w:eastAsia="华文中宋"/>
          <w:bCs/>
          <w:color w:val="000000"/>
          <w:sz w:val="32"/>
        </w:rPr>
      </w:pPr>
    </w:p>
    <w:p w14:paraId="113956E1">
      <w:pPr>
        <w:jc w:val="center"/>
        <w:rPr>
          <w:rFonts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ascii="宋体" w:hAnsi="宋体" w:eastAsia="宋体"/>
          <w:color w:val="000000"/>
        </w:rPr>
      </w:pPr>
      <w:r>
        <w:rPr>
          <w:rFonts w:hint="eastAsia" w:ascii="宋体" w:hAnsi="宋体" w:eastAsia="宋体"/>
          <w:color w:val="000000"/>
        </w:rPr>
        <w:t>2026年6月1日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ascii="宋体" w:hAnsi="宋体"/>
          <w:color w:val="000000"/>
          <w:spacing w:val="4"/>
          <w:sz w:val="24"/>
        </w:rPr>
      </w:pPr>
    </w:p>
    <w:p w14:paraId="1A874DD4">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江苏信息职业技术学院招投标中心受学校委托，就学校采购微电子学院机房改造</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二次</w:t>
      </w:r>
      <w:r>
        <w:rPr>
          <w:rFonts w:hint="eastAsia" w:ascii="宋体" w:hAnsi="宋体" w:cs="宋体"/>
          <w:color w:val="000000"/>
          <w:kern w:val="0"/>
          <w:sz w:val="24"/>
          <w:lang w:eastAsia="zh-CN"/>
        </w:rPr>
        <w:t>）</w:t>
      </w:r>
      <w:r>
        <w:rPr>
          <w:rFonts w:hint="eastAsia" w:ascii="宋体" w:hAnsi="宋体" w:cs="宋体"/>
          <w:color w:val="000000"/>
          <w:kern w:val="0"/>
          <w:sz w:val="24"/>
        </w:rPr>
        <w:t>项目进行公开招标，现欢迎符合相关条件的供应商参加投标。</w:t>
      </w:r>
    </w:p>
    <w:p w14:paraId="53C185F2">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名称：微电子学院机房改造</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二次</w:t>
      </w:r>
      <w:r>
        <w:rPr>
          <w:rFonts w:hint="eastAsia" w:ascii="宋体" w:hAnsi="宋体" w:cs="宋体"/>
          <w:color w:val="000000"/>
          <w:kern w:val="0"/>
          <w:sz w:val="24"/>
          <w:lang w:eastAsia="zh-CN"/>
        </w:rPr>
        <w:t>）</w:t>
      </w:r>
      <w:r>
        <w:rPr>
          <w:rFonts w:hint="eastAsia" w:ascii="宋体" w:hAnsi="宋体"/>
          <w:color w:val="000000"/>
          <w:spacing w:val="4"/>
          <w:sz w:val="24"/>
        </w:rPr>
        <w:t> </w:t>
      </w:r>
    </w:p>
    <w:p w14:paraId="25999AF5">
      <w:pPr>
        <w:spacing w:line="300" w:lineRule="auto"/>
        <w:rPr>
          <w:rFonts w:ascii="宋体" w:hAnsi="宋体"/>
          <w:color w:val="000000"/>
          <w:spacing w:val="4"/>
          <w:sz w:val="24"/>
        </w:rPr>
      </w:pPr>
      <w:r>
        <w:rPr>
          <w:rFonts w:hint="eastAsia" w:ascii="宋体" w:hAnsi="宋体"/>
          <w:color w:val="000000"/>
          <w:spacing w:val="4"/>
          <w:sz w:val="24"/>
        </w:rPr>
        <w:t xml:space="preserve">      编号：JSITHW2026051702</w:t>
      </w:r>
    </w:p>
    <w:p w14:paraId="10DA6A6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三、最高限价：8.9万元</w:t>
      </w:r>
    </w:p>
    <w:p w14:paraId="258467B8">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6</w:t>
      </w:r>
      <w:r>
        <w:rPr>
          <w:rFonts w:hint="eastAsia"/>
          <w:color w:val="000000"/>
          <w:sz w:val="24"/>
        </w:rPr>
        <w:t>月</w:t>
      </w:r>
      <w:r>
        <w:rPr>
          <w:rFonts w:hint="eastAsia"/>
          <w:color w:val="000000"/>
          <w:sz w:val="24"/>
          <w:lang w:val="en-US" w:eastAsia="zh-CN"/>
        </w:rPr>
        <w:t>30</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日09时00分</w:t>
      </w:r>
    </w:p>
    <w:p w14:paraId="7C4D4B39">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3C4BC2F1">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3A44E61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技术联系人：徐老师</w:t>
      </w:r>
    </w:p>
    <w:p w14:paraId="200522DF">
      <w:pPr>
        <w:spacing w:line="360" w:lineRule="auto"/>
        <w:ind w:firstLine="969" w:firstLineChars="391"/>
        <w:rPr>
          <w:color w:val="000000"/>
          <w:spacing w:val="4"/>
          <w:sz w:val="24"/>
        </w:rPr>
      </w:pPr>
      <w:r>
        <w:rPr>
          <w:rFonts w:hint="eastAsia"/>
          <w:color w:val="000000"/>
          <w:spacing w:val="4"/>
          <w:sz w:val="24"/>
        </w:rPr>
        <w:t>联系电话：18351575296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6</w:t>
      </w:r>
      <w:r>
        <w:rPr>
          <w:rFonts w:hint="eastAsia"/>
          <w:color w:val="000000"/>
          <w:spacing w:val="4"/>
          <w:sz w:val="24"/>
        </w:rPr>
        <w:t>月</w:t>
      </w:r>
      <w:r>
        <w:rPr>
          <w:rFonts w:hint="eastAsia"/>
          <w:color w:val="000000"/>
          <w:spacing w:val="4"/>
          <w:sz w:val="24"/>
          <w:lang w:val="en-US" w:eastAsia="zh-CN"/>
        </w:rPr>
        <w:t>24</w:t>
      </w:r>
      <w:bookmarkStart w:id="12" w:name="_GoBack"/>
      <w:bookmarkEnd w:id="12"/>
      <w:r>
        <w:rPr>
          <w:rFonts w:hint="eastAsia"/>
          <w:color w:val="000000"/>
          <w:spacing w:val="4"/>
          <w:sz w:val="24"/>
        </w:rPr>
        <w:t>日</w:t>
      </w:r>
    </w:p>
    <w:p w14:paraId="7CE1F482">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695" w:type="dxa"/>
            <w:noWrap/>
            <w:vAlign w:val="center"/>
          </w:tcPr>
          <w:p w14:paraId="229D5F1B">
            <w:pPr>
              <w:widowControl/>
              <w:spacing w:line="400" w:lineRule="exact"/>
              <w:jc w:val="center"/>
              <w:rPr>
                <w:rFonts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ascii="宋体" w:hAnsi="宋体"/>
                <w:color w:val="000000"/>
                <w:sz w:val="24"/>
              </w:rPr>
            </w:pPr>
            <w:r>
              <w:rPr>
                <w:rFonts w:hint="eastAsia" w:ascii="宋体" w:hAnsi="宋体"/>
                <w:color w:val="000000"/>
                <w:sz w:val="24"/>
              </w:rPr>
              <w:t>投标价格（50分）</w:t>
            </w:r>
          </w:p>
        </w:tc>
        <w:tc>
          <w:tcPr>
            <w:tcW w:w="6664" w:type="dxa"/>
            <w:vAlign w:val="center"/>
          </w:tcPr>
          <w:p w14:paraId="2A05FE8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695" w:type="dxa"/>
            <w:noWrap/>
            <w:vAlign w:val="center"/>
          </w:tcPr>
          <w:p w14:paraId="31463D50">
            <w:pPr>
              <w:widowControl/>
              <w:spacing w:line="400" w:lineRule="exact"/>
              <w:jc w:val="center"/>
              <w:rPr>
                <w:rFonts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ascii="宋体" w:hAnsi="宋体"/>
                <w:color w:val="000000"/>
                <w:sz w:val="24"/>
              </w:rPr>
            </w:pPr>
            <w:r>
              <w:rPr>
                <w:rFonts w:hint="eastAsia" w:ascii="宋体" w:hAnsi="宋体"/>
                <w:color w:val="000000"/>
                <w:sz w:val="24"/>
              </w:rPr>
              <w:t>业绩（6分）</w:t>
            </w:r>
          </w:p>
        </w:tc>
        <w:tc>
          <w:tcPr>
            <w:tcW w:w="6664" w:type="dxa"/>
            <w:vAlign w:val="center"/>
          </w:tcPr>
          <w:p w14:paraId="2E7ED13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2023年5月以来，做过计算机内存、固态存储硬盘供应项目的，每提供一份合同得1.5分，最高得6分。（提供合同复印件并加盖公章，合同时间以签订时间为准，不提供不得分）</w:t>
            </w: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ascii="宋体" w:hAnsi="宋体"/>
                <w:color w:val="000000"/>
                <w:sz w:val="24"/>
              </w:rPr>
            </w:pPr>
            <w:r>
              <w:rPr>
                <w:rFonts w:hint="eastAsia" w:ascii="宋体" w:hAnsi="宋体"/>
                <w:color w:val="000000"/>
                <w:sz w:val="24"/>
              </w:rPr>
              <w:t>3</w:t>
            </w:r>
          </w:p>
        </w:tc>
        <w:tc>
          <w:tcPr>
            <w:tcW w:w="2419" w:type="dxa"/>
            <w:noWrap/>
            <w:vAlign w:val="center"/>
          </w:tcPr>
          <w:p w14:paraId="51EA8392">
            <w:pPr>
              <w:widowControl/>
              <w:spacing w:line="400" w:lineRule="exact"/>
              <w:jc w:val="center"/>
              <w:rPr>
                <w:rFonts w:ascii="宋体" w:hAnsi="宋体"/>
                <w:color w:val="000000"/>
                <w:sz w:val="24"/>
              </w:rPr>
            </w:pPr>
            <w:r>
              <w:rPr>
                <w:rFonts w:hint="eastAsia" w:ascii="宋体" w:hAnsi="宋体"/>
                <w:color w:val="000000"/>
                <w:sz w:val="24"/>
              </w:rPr>
              <w:t>质保期（3分）</w:t>
            </w:r>
          </w:p>
        </w:tc>
        <w:tc>
          <w:tcPr>
            <w:tcW w:w="6664" w:type="dxa"/>
            <w:vAlign w:val="center"/>
          </w:tcPr>
          <w:p w14:paraId="2CC64A9D">
            <w:pPr>
              <w:spacing w:line="360" w:lineRule="auto"/>
              <w:jc w:val="left"/>
              <w:rPr>
                <w:rFonts w:ascii="宋体" w:hAnsi="宋体"/>
                <w:color w:val="000000"/>
                <w:sz w:val="24"/>
              </w:rPr>
            </w:pPr>
            <w:r>
              <w:rPr>
                <w:rFonts w:hint="eastAsia"/>
                <w:color w:val="000000"/>
                <w:kern w:val="0"/>
                <w:sz w:val="24"/>
              </w:rPr>
              <w:t>投标人须提交</w:t>
            </w:r>
            <w:r>
              <w:rPr>
                <w:rFonts w:hint="eastAsia"/>
                <w:color w:val="000000"/>
                <w:sz w:val="24"/>
              </w:rPr>
              <w:t>所有设备的</w:t>
            </w:r>
            <w:r>
              <w:rPr>
                <w:rFonts w:hint="eastAsia"/>
                <w:color w:val="000000"/>
                <w:kern w:val="0"/>
                <w:sz w:val="24"/>
              </w:rPr>
              <w:t>免费质保期为三年（</w:t>
            </w:r>
            <w:r>
              <w:rPr>
                <w:rFonts w:hint="eastAsia"/>
                <w:color w:val="000000"/>
                <w:sz w:val="24"/>
              </w:rPr>
              <w:t>验收合格之日计算</w:t>
            </w:r>
            <w:r>
              <w:rPr>
                <w:rFonts w:hint="eastAsia"/>
                <w:color w:val="000000"/>
                <w:kern w:val="0"/>
                <w:sz w:val="24"/>
              </w:rPr>
              <w:t>）书面承诺书，提供承诺书得</w:t>
            </w:r>
            <w:r>
              <w:rPr>
                <w:color w:val="000000"/>
                <w:kern w:val="0"/>
                <w:sz w:val="24"/>
              </w:rPr>
              <w:t>1</w:t>
            </w:r>
            <w:r>
              <w:rPr>
                <w:rFonts w:hint="eastAsia"/>
                <w:color w:val="000000"/>
                <w:kern w:val="0"/>
                <w:sz w:val="24"/>
              </w:rPr>
              <w:t>分，</w:t>
            </w:r>
            <w:r>
              <w:rPr>
                <w:rFonts w:hint="eastAsia"/>
                <w:color w:val="000000"/>
                <w:sz w:val="24"/>
              </w:rPr>
              <w:t>质保期每多一年加</w:t>
            </w:r>
            <w:r>
              <w:rPr>
                <w:color w:val="000000"/>
                <w:sz w:val="24"/>
              </w:rPr>
              <w:t>1</w:t>
            </w:r>
            <w:r>
              <w:rPr>
                <w:rFonts w:hint="eastAsia"/>
                <w:color w:val="000000"/>
                <w:sz w:val="24"/>
              </w:rPr>
              <w:t>分，本项最多不超过</w:t>
            </w:r>
            <w:r>
              <w:rPr>
                <w:color w:val="000000"/>
                <w:sz w:val="24"/>
              </w:rPr>
              <w:t>3</w:t>
            </w:r>
            <w:r>
              <w:rPr>
                <w:rFonts w:hint="eastAsia"/>
                <w:color w:val="000000"/>
                <w:sz w:val="24"/>
              </w:rPr>
              <w:t>分。</w:t>
            </w:r>
          </w:p>
        </w:tc>
      </w:tr>
      <w:tr w14:paraId="65F9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66BB12F">
            <w:pPr>
              <w:widowControl/>
              <w:spacing w:line="400" w:lineRule="exact"/>
              <w:jc w:val="center"/>
              <w:rPr>
                <w:rFonts w:ascii="宋体" w:hAnsi="宋体"/>
                <w:color w:val="000000"/>
                <w:sz w:val="24"/>
              </w:rPr>
            </w:pPr>
            <w:r>
              <w:rPr>
                <w:rFonts w:hint="eastAsia" w:ascii="宋体" w:hAnsi="宋体"/>
                <w:color w:val="000000"/>
                <w:sz w:val="24"/>
              </w:rPr>
              <w:t>4</w:t>
            </w:r>
          </w:p>
        </w:tc>
        <w:tc>
          <w:tcPr>
            <w:tcW w:w="2419" w:type="dxa"/>
            <w:noWrap/>
            <w:vAlign w:val="center"/>
          </w:tcPr>
          <w:p w14:paraId="67AF73E0">
            <w:pPr>
              <w:widowControl/>
              <w:spacing w:line="400" w:lineRule="exact"/>
              <w:jc w:val="center"/>
              <w:rPr>
                <w:rFonts w:ascii="宋体" w:hAnsi="宋体"/>
                <w:color w:val="000000"/>
                <w:sz w:val="24"/>
              </w:rPr>
            </w:pPr>
            <w:r>
              <w:rPr>
                <w:rFonts w:hint="eastAsia" w:ascii="宋体" w:hAnsi="宋体"/>
                <w:color w:val="000000"/>
                <w:sz w:val="24"/>
              </w:rPr>
              <w:t>质量保证（8分）</w:t>
            </w:r>
          </w:p>
        </w:tc>
        <w:tc>
          <w:tcPr>
            <w:tcW w:w="6664" w:type="dxa"/>
            <w:vAlign w:val="center"/>
          </w:tcPr>
          <w:p w14:paraId="1F84E39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提供产品质量保证和专业技术人员保障措施承诺书。</w:t>
            </w:r>
          </w:p>
          <w:p w14:paraId="7353C97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内容详细，可行性高，实用性强，得8分；</w:t>
            </w:r>
          </w:p>
          <w:p w14:paraId="2395C891">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内容较详细，可行性较高，实用性较强，得5分；</w:t>
            </w:r>
          </w:p>
          <w:p w14:paraId="2560FC0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内容一般、可行性一般、实用性一般，得2分；</w:t>
            </w:r>
          </w:p>
          <w:p w14:paraId="23513B70">
            <w:pPr>
              <w:tabs>
                <w:tab w:val="left" w:pos="840"/>
                <w:tab w:val="left" w:pos="1050"/>
              </w:tabs>
              <w:adjustRightInd w:val="0"/>
              <w:snapToGrid w:val="0"/>
              <w:spacing w:line="460" w:lineRule="exact"/>
              <w:jc w:val="left"/>
              <w:rPr>
                <w:color w:val="000000"/>
                <w:kern w:val="0"/>
                <w:sz w:val="24"/>
              </w:rPr>
            </w:pPr>
            <w:r>
              <w:rPr>
                <w:rFonts w:hint="eastAsia" w:ascii="宋体" w:hAnsi="宋体"/>
                <w:color w:val="000000"/>
                <w:sz w:val="24"/>
              </w:rPr>
              <w:t>内容不详细，可行性不高，实用性差，得0分</w:t>
            </w:r>
          </w:p>
        </w:tc>
      </w:tr>
      <w:tr w14:paraId="63F3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4AD97CE">
            <w:pPr>
              <w:widowControl/>
              <w:spacing w:line="400" w:lineRule="exact"/>
              <w:jc w:val="center"/>
              <w:rPr>
                <w:rFonts w:ascii="宋体" w:hAnsi="宋体"/>
                <w:color w:val="000000"/>
                <w:sz w:val="24"/>
              </w:rPr>
            </w:pPr>
            <w:r>
              <w:rPr>
                <w:rFonts w:hint="eastAsia" w:ascii="宋体" w:hAnsi="宋体"/>
                <w:color w:val="000000"/>
                <w:sz w:val="24"/>
              </w:rPr>
              <w:t>5</w:t>
            </w:r>
          </w:p>
        </w:tc>
        <w:tc>
          <w:tcPr>
            <w:tcW w:w="2419" w:type="dxa"/>
            <w:noWrap/>
            <w:vAlign w:val="center"/>
          </w:tcPr>
          <w:p w14:paraId="48A6C536">
            <w:pPr>
              <w:widowControl/>
              <w:spacing w:line="400" w:lineRule="exact"/>
              <w:jc w:val="center"/>
              <w:rPr>
                <w:rFonts w:ascii="宋体" w:hAnsi="宋体"/>
                <w:color w:val="000000"/>
                <w:sz w:val="24"/>
              </w:rPr>
            </w:pPr>
            <w:r>
              <w:rPr>
                <w:rFonts w:hint="eastAsia" w:ascii="宋体" w:hAnsi="宋体"/>
                <w:color w:val="000000"/>
                <w:sz w:val="24"/>
              </w:rPr>
              <w:t>项目方案（10分）</w:t>
            </w:r>
          </w:p>
        </w:tc>
        <w:tc>
          <w:tcPr>
            <w:tcW w:w="6664" w:type="dxa"/>
            <w:vAlign w:val="center"/>
          </w:tcPr>
          <w:p w14:paraId="4368E70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针对项目提供的服务方案</w:t>
            </w:r>
          </w:p>
          <w:p w14:paraId="3870414C">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方案详细，可行性高，实用性强，得10分；</w:t>
            </w:r>
          </w:p>
          <w:p w14:paraId="5F5BE91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方案较详细，可行性较高，实用性较强，得7分；</w:t>
            </w:r>
          </w:p>
          <w:p w14:paraId="1948AAB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方案一般，可行性一般，实用性一般，得3分；</w:t>
            </w:r>
          </w:p>
          <w:p w14:paraId="3B768DB6">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ascii="宋体" w:hAnsi="宋体"/>
                <w:color w:val="000000"/>
                <w:sz w:val="24"/>
              </w:rPr>
            </w:pPr>
            <w:r>
              <w:rPr>
                <w:rFonts w:hint="eastAsia" w:ascii="宋体" w:hAnsi="宋体"/>
                <w:color w:val="000000"/>
                <w:sz w:val="24"/>
              </w:rPr>
              <w:t>6</w:t>
            </w:r>
          </w:p>
        </w:tc>
        <w:tc>
          <w:tcPr>
            <w:tcW w:w="2419" w:type="dxa"/>
            <w:noWrap/>
            <w:vAlign w:val="center"/>
          </w:tcPr>
          <w:p w14:paraId="13A1F9CF">
            <w:pPr>
              <w:widowControl/>
              <w:spacing w:line="400" w:lineRule="exact"/>
              <w:jc w:val="center"/>
              <w:rPr>
                <w:rFonts w:ascii="宋体" w:hAnsi="宋体"/>
                <w:color w:val="000000"/>
                <w:sz w:val="24"/>
              </w:rPr>
            </w:pPr>
            <w:r>
              <w:rPr>
                <w:rFonts w:hint="eastAsia" w:ascii="宋体" w:hAnsi="宋体"/>
                <w:color w:val="000000"/>
                <w:sz w:val="24"/>
              </w:rPr>
              <w:t>供货安装实施方案（8分）</w:t>
            </w:r>
          </w:p>
        </w:tc>
        <w:tc>
          <w:tcPr>
            <w:tcW w:w="6664" w:type="dxa"/>
            <w:vAlign w:val="center"/>
          </w:tcPr>
          <w:p w14:paraId="47F93FF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针对投标人提供的供货安装实施方案进行评分：</w:t>
            </w:r>
          </w:p>
          <w:p w14:paraId="1F13EAE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供货安装方案完整、针对性强、工期安排合理，得8分；</w:t>
            </w:r>
          </w:p>
          <w:p w14:paraId="384ACF6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供货安装方案较完整、针对性较强，得5分；</w:t>
            </w:r>
          </w:p>
          <w:p w14:paraId="5B3FE56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供货安装方案一般、针对性一般，得2分；</w:t>
            </w:r>
          </w:p>
          <w:p w14:paraId="70B6AC7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没有供货安装方案、或方案不完整，没有针对性，得0分。</w:t>
            </w:r>
          </w:p>
        </w:tc>
      </w:tr>
      <w:tr w14:paraId="7CFD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A40F55">
            <w:pPr>
              <w:widowControl/>
              <w:spacing w:line="400" w:lineRule="exact"/>
              <w:jc w:val="center"/>
              <w:rPr>
                <w:rFonts w:ascii="宋体" w:hAnsi="宋体"/>
                <w:color w:val="000000"/>
                <w:sz w:val="24"/>
              </w:rPr>
            </w:pPr>
            <w:r>
              <w:rPr>
                <w:rFonts w:hint="eastAsia" w:ascii="宋体" w:hAnsi="宋体"/>
                <w:color w:val="000000"/>
                <w:sz w:val="24"/>
              </w:rPr>
              <w:t>7</w:t>
            </w:r>
          </w:p>
        </w:tc>
        <w:tc>
          <w:tcPr>
            <w:tcW w:w="2419" w:type="dxa"/>
            <w:noWrap/>
            <w:vAlign w:val="center"/>
          </w:tcPr>
          <w:p w14:paraId="0EED33D5">
            <w:pPr>
              <w:widowControl/>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售后服务方案（8分）</w:t>
            </w:r>
          </w:p>
        </w:tc>
        <w:tc>
          <w:tcPr>
            <w:tcW w:w="6664" w:type="dxa"/>
            <w:vAlign w:val="center"/>
          </w:tcPr>
          <w:p w14:paraId="2034689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针对投标人提供的售后服务方案进行评分</w:t>
            </w:r>
          </w:p>
          <w:p w14:paraId="0E3D05C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方案详细，可行性高，实用性强，得8分；</w:t>
            </w:r>
          </w:p>
          <w:p w14:paraId="1CD2C98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方案较详细，可行性较高，实用性较强，得5分；</w:t>
            </w:r>
          </w:p>
          <w:p w14:paraId="5A79357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方案一般，可行性一般，实用性一般，得2分；</w:t>
            </w:r>
          </w:p>
          <w:p w14:paraId="2E4EF42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r w14:paraId="7BD3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FB0FED1">
            <w:pPr>
              <w:widowControl/>
              <w:spacing w:line="400" w:lineRule="exact"/>
              <w:jc w:val="center"/>
              <w:rPr>
                <w:rFonts w:ascii="宋体" w:hAnsi="宋体"/>
                <w:color w:val="000000"/>
                <w:sz w:val="24"/>
              </w:rPr>
            </w:pPr>
            <w:r>
              <w:rPr>
                <w:rFonts w:hint="eastAsia" w:ascii="宋体" w:hAnsi="宋体"/>
                <w:color w:val="000000"/>
                <w:sz w:val="24"/>
              </w:rPr>
              <w:t>8</w:t>
            </w:r>
          </w:p>
        </w:tc>
        <w:tc>
          <w:tcPr>
            <w:tcW w:w="2419" w:type="dxa"/>
            <w:noWrap/>
            <w:vAlign w:val="center"/>
          </w:tcPr>
          <w:p w14:paraId="58CCC25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应急处理方案（7分）</w:t>
            </w:r>
          </w:p>
          <w:p w14:paraId="4F8E330C">
            <w:pPr>
              <w:widowControl/>
              <w:spacing w:line="400" w:lineRule="exact"/>
              <w:jc w:val="center"/>
              <w:rPr>
                <w:rFonts w:ascii="宋体" w:hAnsi="宋体"/>
                <w:color w:val="000000"/>
                <w:sz w:val="24"/>
              </w:rPr>
            </w:pPr>
          </w:p>
        </w:tc>
        <w:tc>
          <w:tcPr>
            <w:tcW w:w="6664" w:type="dxa"/>
            <w:vAlign w:val="center"/>
          </w:tcPr>
          <w:p w14:paraId="25BEC44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针对投标人提供的应急处理方案、处理程序、响应及处理时间进行评分</w:t>
            </w:r>
          </w:p>
          <w:p w14:paraId="3DAEC1B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方案详细，可行性高，实用性强，得7分；</w:t>
            </w:r>
          </w:p>
          <w:p w14:paraId="49D3F42F">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方案较详细，可行性较高，实用性较强，得4分；</w:t>
            </w:r>
          </w:p>
          <w:p w14:paraId="6B0ACA7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方案一般，可行性一般，实用性一般，得2分；</w:t>
            </w:r>
          </w:p>
          <w:p w14:paraId="7A9828D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tbl>
      <w:tblPr>
        <w:tblStyle w:val="19"/>
        <w:tblW w:w="8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850"/>
        <w:gridCol w:w="1560"/>
        <w:gridCol w:w="2485"/>
      </w:tblGrid>
      <w:tr w14:paraId="0A61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68A8E09">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品名</w:t>
            </w:r>
          </w:p>
        </w:tc>
        <w:tc>
          <w:tcPr>
            <w:tcW w:w="2977" w:type="dxa"/>
            <w:vAlign w:val="center"/>
          </w:tcPr>
          <w:p w14:paraId="0D27A571">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主要配置或技术参数</w:t>
            </w:r>
          </w:p>
        </w:tc>
        <w:tc>
          <w:tcPr>
            <w:tcW w:w="850" w:type="dxa"/>
            <w:vAlign w:val="center"/>
          </w:tcPr>
          <w:p w14:paraId="2CFB9E50">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采购量</w:t>
            </w:r>
          </w:p>
        </w:tc>
        <w:tc>
          <w:tcPr>
            <w:tcW w:w="1560" w:type="dxa"/>
            <w:vAlign w:val="center"/>
          </w:tcPr>
          <w:p w14:paraId="102A6985">
            <w:pPr>
              <w:tabs>
                <w:tab w:val="left" w:pos="571"/>
                <w:tab w:val="left" w:pos="709"/>
                <w:tab w:val="left" w:pos="993"/>
                <w:tab w:val="left" w:pos="1418"/>
              </w:tabs>
              <w:jc w:val="left"/>
              <w:rPr>
                <w:rFonts w:ascii="宋体" w:hAnsi="宋体"/>
                <w:bCs/>
                <w:color w:val="000000"/>
                <w:kern w:val="0"/>
                <w:sz w:val="24"/>
              </w:rPr>
            </w:pPr>
            <w:r>
              <w:rPr>
                <w:rFonts w:hint="eastAsia" w:ascii="宋体" w:hAnsi="宋体"/>
                <w:bCs/>
                <w:color w:val="000000"/>
                <w:kern w:val="0"/>
                <w:sz w:val="24"/>
              </w:rPr>
              <w:t>推荐品牌</w:t>
            </w:r>
          </w:p>
        </w:tc>
        <w:tc>
          <w:tcPr>
            <w:tcW w:w="2485" w:type="dxa"/>
            <w:vAlign w:val="center"/>
          </w:tcPr>
          <w:p w14:paraId="28C4FAEC">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备注</w:t>
            </w:r>
          </w:p>
        </w:tc>
      </w:tr>
      <w:tr w14:paraId="71AC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1" w:hRule="atLeast"/>
        </w:trPr>
        <w:tc>
          <w:tcPr>
            <w:tcW w:w="817" w:type="dxa"/>
            <w:vAlign w:val="center"/>
          </w:tcPr>
          <w:p w14:paraId="699209C2">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固态硬盘</w:t>
            </w:r>
          </w:p>
        </w:tc>
        <w:tc>
          <w:tcPr>
            <w:tcW w:w="2977" w:type="dxa"/>
            <w:vAlign w:val="center"/>
          </w:tcPr>
          <w:p w14:paraId="7306007A">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接口类型M.2、SATA总线、硬盘尺寸2242、硬盘容量512GB，适用类型M.2接口，SATA协议的终端设备（与现有机房环境兼容）</w:t>
            </w:r>
          </w:p>
        </w:tc>
        <w:tc>
          <w:tcPr>
            <w:tcW w:w="850" w:type="dxa"/>
            <w:vAlign w:val="center"/>
          </w:tcPr>
          <w:p w14:paraId="78B153B5">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50个</w:t>
            </w:r>
          </w:p>
        </w:tc>
        <w:tc>
          <w:tcPr>
            <w:tcW w:w="1560" w:type="dxa"/>
            <w:vAlign w:val="center"/>
          </w:tcPr>
          <w:p w14:paraId="721536F4">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联想、金胜维、金士顿</w:t>
            </w:r>
          </w:p>
        </w:tc>
        <w:tc>
          <w:tcPr>
            <w:tcW w:w="2485" w:type="dxa"/>
            <w:vMerge w:val="restart"/>
            <w:vAlign w:val="center"/>
          </w:tcPr>
          <w:p w14:paraId="45202D1B">
            <w:pPr>
              <w:tabs>
                <w:tab w:val="left" w:pos="709"/>
                <w:tab w:val="left" w:pos="993"/>
                <w:tab w:val="left" w:pos="1418"/>
              </w:tabs>
              <w:rPr>
                <w:rFonts w:ascii="宋体" w:hAnsi="宋体"/>
                <w:bCs/>
                <w:color w:val="000000"/>
                <w:kern w:val="0"/>
                <w:sz w:val="24"/>
              </w:rPr>
            </w:pPr>
            <w:r>
              <w:rPr>
                <w:rFonts w:ascii="宋体" w:hAnsi="宋体"/>
                <w:bCs/>
                <w:color w:val="000000"/>
                <w:kern w:val="0"/>
                <w:sz w:val="24"/>
              </w:rPr>
              <w:t>1</w:t>
            </w:r>
            <w:r>
              <w:rPr>
                <w:rFonts w:hint="eastAsia" w:ascii="宋体" w:hAnsi="宋体"/>
                <w:bCs/>
                <w:color w:val="000000"/>
                <w:kern w:val="0"/>
                <w:sz w:val="24"/>
              </w:rPr>
              <w:t>、中标单位要负责原有终端内硬件的拆除和新硬件的安装，以及电脑系统软件的复原。新硬件需与现有机房电脑（云终端计算机、型号C</w:t>
            </w:r>
            <w:r>
              <w:rPr>
                <w:rFonts w:ascii="宋体" w:hAnsi="宋体"/>
                <w:bCs/>
                <w:color w:val="000000"/>
                <w:kern w:val="0"/>
                <w:sz w:val="24"/>
              </w:rPr>
              <w:t>X5073H</w:t>
            </w:r>
            <w:r>
              <w:rPr>
                <w:rFonts w:hint="eastAsia" w:ascii="宋体" w:hAnsi="宋体"/>
                <w:bCs/>
                <w:color w:val="000000"/>
                <w:kern w:val="0"/>
                <w:sz w:val="24"/>
              </w:rPr>
              <w:t>）适配，新硬件安装后电脑能正常开机使用。</w:t>
            </w:r>
          </w:p>
          <w:p w14:paraId="3C88B7CE">
            <w:pPr>
              <w:tabs>
                <w:tab w:val="left" w:pos="709"/>
                <w:tab w:val="left" w:pos="993"/>
                <w:tab w:val="left" w:pos="1418"/>
              </w:tabs>
              <w:rPr>
                <w:rFonts w:ascii="宋体" w:hAnsi="宋体"/>
                <w:bCs/>
                <w:color w:val="000000"/>
                <w:kern w:val="0"/>
                <w:sz w:val="24"/>
              </w:rPr>
            </w:pPr>
            <w:r>
              <w:rPr>
                <w:rFonts w:ascii="宋体" w:hAnsi="宋体"/>
                <w:bCs/>
                <w:color w:val="000000"/>
                <w:kern w:val="0"/>
                <w:sz w:val="24"/>
              </w:rPr>
              <w:t>2</w:t>
            </w:r>
            <w:r>
              <w:rPr>
                <w:rFonts w:hint="eastAsia" w:ascii="宋体" w:hAnsi="宋体"/>
                <w:bCs/>
                <w:color w:val="000000"/>
                <w:kern w:val="0"/>
                <w:sz w:val="24"/>
              </w:rPr>
              <w:t>、新硬件需与原有的机房管理系统软件噢易O</w:t>
            </w:r>
            <w:r>
              <w:rPr>
                <w:rFonts w:ascii="宋体" w:hAnsi="宋体"/>
                <w:bCs/>
                <w:color w:val="000000"/>
                <w:kern w:val="0"/>
                <w:sz w:val="24"/>
              </w:rPr>
              <w:t>SSV8-8.3.3.4163</w:t>
            </w:r>
            <w:r>
              <w:rPr>
                <w:rFonts w:hint="eastAsia" w:ascii="宋体" w:hAnsi="宋体"/>
                <w:bCs/>
                <w:color w:val="000000"/>
                <w:kern w:val="0"/>
                <w:sz w:val="24"/>
              </w:rPr>
              <w:t>版本无缝对接，完全兼容，统一管理。包括硬盘分区、系统同传、专业软件的安装等。并在安装完成之后进行机房管理系统的测试，以保证后期机房的稳定运行。</w:t>
            </w:r>
          </w:p>
          <w:p w14:paraId="4C3547D3">
            <w:pPr>
              <w:tabs>
                <w:tab w:val="left" w:pos="709"/>
                <w:tab w:val="left" w:pos="993"/>
                <w:tab w:val="left" w:pos="1418"/>
              </w:tabs>
              <w:rPr>
                <w:rFonts w:ascii="宋体" w:hAnsi="宋体"/>
                <w:bCs/>
                <w:color w:val="000000"/>
                <w:kern w:val="0"/>
                <w:sz w:val="24"/>
              </w:rPr>
            </w:pPr>
            <w:r>
              <w:rPr>
                <w:rFonts w:ascii="宋体" w:hAnsi="宋体"/>
                <w:bCs/>
                <w:color w:val="000000"/>
                <w:kern w:val="0"/>
                <w:sz w:val="24"/>
              </w:rPr>
              <w:t>3</w:t>
            </w:r>
            <w:r>
              <w:rPr>
                <w:rFonts w:hint="eastAsia" w:ascii="宋体" w:hAnsi="宋体"/>
                <w:bCs/>
                <w:color w:val="000000"/>
                <w:kern w:val="0"/>
                <w:sz w:val="24"/>
              </w:rPr>
              <w:t>、安装新硬件后，机房现有机房管理软件仍然支持为不同分区设置不同的还原方式。</w:t>
            </w:r>
          </w:p>
          <w:p w14:paraId="74575A9B">
            <w:pPr>
              <w:tabs>
                <w:tab w:val="left" w:pos="709"/>
                <w:tab w:val="left" w:pos="993"/>
                <w:tab w:val="left" w:pos="1418"/>
              </w:tabs>
              <w:rPr>
                <w:rFonts w:ascii="宋体" w:hAnsi="宋体"/>
                <w:bCs/>
                <w:color w:val="000000"/>
                <w:kern w:val="0"/>
                <w:sz w:val="24"/>
              </w:rPr>
            </w:pPr>
            <w:r>
              <w:rPr>
                <w:rFonts w:hint="eastAsia" w:ascii="宋体" w:hAnsi="宋体"/>
                <w:bCs/>
                <w:color w:val="000000"/>
                <w:kern w:val="0"/>
                <w:sz w:val="24"/>
              </w:rPr>
              <w:t>3、</w:t>
            </w:r>
            <w:bookmarkStart w:id="9" w:name="OLE_LINK8"/>
            <w:bookmarkStart w:id="10" w:name="OLE_LINK7"/>
            <w:r>
              <w:rPr>
                <w:rFonts w:hint="eastAsia" w:ascii="宋体" w:hAnsi="宋体"/>
                <w:bCs/>
                <w:color w:val="000000"/>
                <w:kern w:val="0"/>
                <w:sz w:val="24"/>
              </w:rPr>
              <w:t>安装新硬件后，机房现有机房管理软件仍然支持国产和非国产终端电脑的固态硬盘及机械硬盘的双硬盘保护同传</w:t>
            </w:r>
            <w:bookmarkEnd w:id="9"/>
            <w:bookmarkEnd w:id="10"/>
            <w:r>
              <w:rPr>
                <w:rFonts w:hint="eastAsia" w:ascii="宋体" w:hAnsi="宋体"/>
                <w:bCs/>
                <w:color w:val="000000"/>
                <w:kern w:val="0"/>
                <w:sz w:val="24"/>
              </w:rPr>
              <w:t>。</w:t>
            </w:r>
          </w:p>
          <w:p w14:paraId="03EBB6AF">
            <w:pPr>
              <w:tabs>
                <w:tab w:val="left" w:pos="709"/>
                <w:tab w:val="left" w:pos="993"/>
                <w:tab w:val="left" w:pos="1418"/>
              </w:tabs>
              <w:rPr>
                <w:rFonts w:ascii="宋体" w:hAnsi="宋体"/>
                <w:bCs/>
                <w:color w:val="000000"/>
                <w:kern w:val="0"/>
                <w:sz w:val="24"/>
              </w:rPr>
            </w:pPr>
            <w:r>
              <w:rPr>
                <w:rFonts w:ascii="宋体" w:hAnsi="宋体"/>
                <w:bCs/>
                <w:color w:val="000000"/>
                <w:kern w:val="0"/>
                <w:sz w:val="24"/>
              </w:rPr>
              <w:t>4</w:t>
            </w:r>
            <w:r>
              <w:rPr>
                <w:rFonts w:hint="eastAsia" w:ascii="宋体" w:hAnsi="宋体"/>
                <w:bCs/>
                <w:color w:val="000000"/>
                <w:kern w:val="0"/>
                <w:sz w:val="24"/>
              </w:rPr>
              <w:t>、安装新硬件后，机房现有机房管理软件仍然支持断点续传。</w:t>
            </w:r>
          </w:p>
        </w:tc>
      </w:tr>
      <w:tr w14:paraId="29C9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3F3755D">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内存条</w:t>
            </w:r>
          </w:p>
        </w:tc>
        <w:tc>
          <w:tcPr>
            <w:tcW w:w="2977" w:type="dxa"/>
            <w:vAlign w:val="center"/>
          </w:tcPr>
          <w:p w14:paraId="02C71420">
            <w:pPr>
              <w:tabs>
                <w:tab w:val="left" w:pos="709"/>
                <w:tab w:val="left" w:pos="993"/>
                <w:tab w:val="left" w:pos="1418"/>
              </w:tabs>
              <w:jc w:val="center"/>
              <w:rPr>
                <w:rFonts w:ascii="宋体" w:hAnsi="宋体"/>
                <w:bCs/>
                <w:color w:val="000000"/>
                <w:kern w:val="0"/>
                <w:sz w:val="24"/>
              </w:rPr>
            </w:pPr>
            <w:bookmarkStart w:id="11" w:name="OLE_LINK1"/>
            <w:r>
              <w:rPr>
                <w:rFonts w:hint="eastAsia" w:ascii="宋体" w:hAnsi="宋体"/>
                <w:bCs/>
                <w:color w:val="000000"/>
                <w:kern w:val="0"/>
                <w:sz w:val="24"/>
              </w:rPr>
              <w:t>笔记本内存  DDR4  频率 2400 容量16G</w:t>
            </w:r>
            <w:bookmarkEnd w:id="11"/>
          </w:p>
        </w:tc>
        <w:tc>
          <w:tcPr>
            <w:tcW w:w="850" w:type="dxa"/>
            <w:vAlign w:val="center"/>
          </w:tcPr>
          <w:p w14:paraId="4CCAC2C4">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50个</w:t>
            </w:r>
          </w:p>
        </w:tc>
        <w:tc>
          <w:tcPr>
            <w:tcW w:w="1560" w:type="dxa"/>
            <w:vAlign w:val="center"/>
          </w:tcPr>
          <w:p w14:paraId="43579517">
            <w:pPr>
              <w:tabs>
                <w:tab w:val="left" w:pos="48"/>
                <w:tab w:val="left" w:pos="709"/>
                <w:tab w:val="left" w:pos="993"/>
                <w:tab w:val="left" w:pos="1418"/>
              </w:tabs>
              <w:jc w:val="left"/>
              <w:rPr>
                <w:rFonts w:ascii="宋体" w:hAnsi="宋体"/>
                <w:bCs/>
                <w:color w:val="000000"/>
                <w:kern w:val="0"/>
                <w:sz w:val="24"/>
              </w:rPr>
            </w:pPr>
            <w:r>
              <w:rPr>
                <w:rFonts w:hint="eastAsia" w:ascii="宋体" w:hAnsi="宋体"/>
                <w:bCs/>
                <w:color w:val="000000"/>
                <w:kern w:val="0"/>
                <w:sz w:val="24"/>
              </w:rPr>
              <w:tab/>
            </w:r>
            <w:r>
              <w:rPr>
                <w:rFonts w:hint="eastAsia" w:ascii="宋体" w:hAnsi="宋体"/>
                <w:bCs/>
                <w:color w:val="000000"/>
                <w:kern w:val="0"/>
                <w:sz w:val="24"/>
              </w:rPr>
              <w:t>金士顿、联想、英睿达</w:t>
            </w:r>
          </w:p>
        </w:tc>
        <w:tc>
          <w:tcPr>
            <w:tcW w:w="2485" w:type="dxa"/>
            <w:vMerge w:val="continue"/>
            <w:vAlign w:val="center"/>
          </w:tcPr>
          <w:p w14:paraId="4EDCC2A5">
            <w:pPr>
              <w:tabs>
                <w:tab w:val="left" w:pos="709"/>
                <w:tab w:val="left" w:pos="993"/>
                <w:tab w:val="left" w:pos="1418"/>
              </w:tabs>
              <w:jc w:val="center"/>
              <w:rPr>
                <w:rFonts w:ascii="宋体" w:hAnsi="宋体"/>
                <w:bCs/>
                <w:color w:val="000000"/>
                <w:kern w:val="0"/>
                <w:sz w:val="24"/>
              </w:rPr>
            </w:pPr>
          </w:p>
        </w:tc>
      </w:tr>
    </w:tbl>
    <w:p w14:paraId="6490FAE5">
      <w:pPr>
        <w:ind w:firstLine="560" w:firstLineChars="200"/>
        <w:rPr>
          <w:rFonts w:ascii="宋体" w:hAnsi="宋体"/>
          <w:bCs/>
          <w:sz w:val="28"/>
          <w:szCs w:val="28"/>
        </w:rPr>
      </w:pPr>
      <w:r>
        <w:rPr>
          <w:rFonts w:hint="eastAsia" w:ascii="宋体" w:hAnsi="宋体"/>
          <w:bCs/>
          <w:sz w:val="28"/>
          <w:szCs w:val="28"/>
        </w:rPr>
        <w:t>为保证硬件和软件安装调试后完全兼容正常使用，供应商须在中标后三天内，到校与使用方一起对投标的配件及软件环境进行48小时以上的抗压测试，如遇软硬件不兼容现象，采购方有权取消合同的签订。硬件质保三年，同时供应商保证三年上门服务。</w:t>
      </w:r>
    </w:p>
    <w:p w14:paraId="4477EC80">
      <w:pPr>
        <w:ind w:firstLine="562" w:firstLineChars="200"/>
        <w:rPr>
          <w:rFonts w:ascii="宋体" w:hAnsi="宋体"/>
          <w:b/>
          <w:bCs/>
          <w:sz w:val="28"/>
          <w:szCs w:val="28"/>
        </w:rPr>
      </w:pPr>
    </w:p>
    <w:p w14:paraId="6BD08D9A">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注意：报价包含所有费用</w:t>
      </w:r>
    </w:p>
    <w:p w14:paraId="25A6440A">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二、技术服务主要参数要求：符合采购清单要求，及时按要求送货</w:t>
      </w:r>
      <w:r>
        <w:rPr>
          <w:rFonts w:ascii="宋体" w:hAnsi="宋体"/>
          <w:bCs/>
          <w:color w:val="000000"/>
          <w:kern w:val="0"/>
          <w:sz w:val="28"/>
          <w:szCs w:val="28"/>
        </w:rPr>
        <w:t xml:space="preserve"> </w:t>
      </w:r>
    </w:p>
    <w:p w14:paraId="72C2B625">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三、售后服务要求：质保期3年</w:t>
      </w:r>
      <w:r>
        <w:rPr>
          <w:rFonts w:hint="eastAsia" w:ascii="宋体" w:hAnsi="宋体"/>
          <w:bCs/>
          <w:color w:val="000000"/>
          <w:kern w:val="0"/>
          <w:sz w:val="28"/>
          <w:szCs w:val="28"/>
        </w:rPr>
        <w:t>。</w:t>
      </w:r>
    </w:p>
    <w:p w14:paraId="32D29B7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2026.09.15</w:t>
      </w:r>
      <w:r>
        <w:rPr>
          <w:rFonts w:hint="eastAsia" w:ascii="宋体" w:hAnsi="宋体"/>
          <w:b/>
          <w:color w:val="000000"/>
          <w:kern w:val="0"/>
          <w:sz w:val="28"/>
          <w:szCs w:val="28"/>
        </w:rPr>
        <w:t>固态硬盘、内存条免费安装至电脑中，经调试电脑正常使用</w:t>
      </w:r>
    </w:p>
    <w:p w14:paraId="54A3A934">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无锡市惠山区钱藕路1号江苏信息职业技术学院微电子学院实训室S</w:t>
      </w:r>
      <w:r>
        <w:rPr>
          <w:rFonts w:ascii="宋体" w:hAnsi="宋体"/>
          <w:color w:val="000000"/>
          <w:kern w:val="0"/>
          <w:sz w:val="28"/>
          <w:szCs w:val="28"/>
        </w:rPr>
        <w:t>1-511</w:t>
      </w:r>
      <w:r>
        <w:rPr>
          <w:rFonts w:hint="eastAsia" w:ascii="宋体" w:hAnsi="宋体"/>
          <w:color w:val="000000"/>
          <w:kern w:val="0"/>
          <w:sz w:val="28"/>
          <w:szCs w:val="28"/>
        </w:rPr>
        <w:t>。</w:t>
      </w:r>
    </w:p>
    <w:p w14:paraId="259F22D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验收合格后一次性付款。</w:t>
      </w:r>
    </w:p>
    <w:p w14:paraId="71C43A62">
      <w:pPr>
        <w:spacing w:line="360" w:lineRule="auto"/>
        <w:ind w:firstLine="2001" w:firstLineChars="445"/>
        <w:rPr>
          <w:rFonts w:ascii="宋体" w:hAnsi="宋体"/>
          <w:b/>
          <w:color w:val="000000"/>
          <w:spacing w:val="4"/>
          <w:sz w:val="44"/>
          <w:szCs w:val="44"/>
        </w:rPr>
      </w:pPr>
    </w:p>
    <w:p w14:paraId="4D07C571">
      <w:pPr>
        <w:spacing w:line="360" w:lineRule="auto"/>
        <w:ind w:firstLine="2001" w:firstLineChars="445"/>
        <w:rPr>
          <w:rFonts w:ascii="宋体" w:hAnsi="宋体"/>
          <w:b/>
          <w:color w:val="000000"/>
          <w:spacing w:val="4"/>
          <w:sz w:val="44"/>
          <w:szCs w:val="44"/>
        </w:rPr>
      </w:pPr>
    </w:p>
    <w:p w14:paraId="78FB8939">
      <w:pPr>
        <w:spacing w:line="360" w:lineRule="auto"/>
        <w:ind w:firstLine="2001" w:firstLineChars="445"/>
        <w:rPr>
          <w:rFonts w:ascii="宋体" w:hAnsi="宋体"/>
          <w:b/>
          <w:color w:val="000000"/>
          <w:spacing w:val="4"/>
          <w:sz w:val="44"/>
          <w:szCs w:val="44"/>
        </w:rPr>
      </w:pPr>
    </w:p>
    <w:p w14:paraId="0E30A33D">
      <w:pPr>
        <w:spacing w:line="360" w:lineRule="auto"/>
        <w:ind w:firstLine="2001" w:firstLineChars="445"/>
        <w:rPr>
          <w:rFonts w:ascii="宋体" w:hAnsi="宋体"/>
          <w:b/>
          <w:color w:val="000000"/>
          <w:spacing w:val="4"/>
          <w:sz w:val="44"/>
          <w:szCs w:val="44"/>
        </w:rPr>
      </w:pPr>
    </w:p>
    <w:p w14:paraId="59EFB01A">
      <w:pPr>
        <w:spacing w:line="360" w:lineRule="auto"/>
        <w:ind w:firstLine="2001" w:firstLineChars="445"/>
        <w:rPr>
          <w:rFonts w:ascii="宋体" w:hAnsi="宋体"/>
          <w:b/>
          <w:color w:val="000000"/>
          <w:spacing w:val="4"/>
          <w:sz w:val="44"/>
          <w:szCs w:val="44"/>
        </w:rPr>
      </w:pPr>
    </w:p>
    <w:p w14:paraId="4EBF5428">
      <w:pPr>
        <w:spacing w:line="360" w:lineRule="auto"/>
        <w:ind w:firstLine="2001" w:firstLineChars="445"/>
        <w:rPr>
          <w:rFonts w:ascii="宋体" w:hAnsi="宋体"/>
          <w:b/>
          <w:color w:val="000000"/>
          <w:spacing w:val="4"/>
          <w:sz w:val="44"/>
          <w:szCs w:val="44"/>
        </w:rPr>
      </w:pPr>
    </w:p>
    <w:p w14:paraId="7EFE31A5">
      <w:pPr>
        <w:spacing w:line="360" w:lineRule="auto"/>
        <w:ind w:firstLine="2001" w:firstLineChars="445"/>
        <w:rPr>
          <w:rFonts w:ascii="宋体" w:hAnsi="宋体"/>
          <w:b/>
          <w:color w:val="000000"/>
          <w:spacing w:val="4"/>
          <w:sz w:val="44"/>
          <w:szCs w:val="44"/>
        </w:rPr>
      </w:pPr>
    </w:p>
    <w:p w14:paraId="7F8EEEE9">
      <w:pPr>
        <w:spacing w:line="360" w:lineRule="auto"/>
        <w:ind w:firstLine="2001" w:firstLineChars="445"/>
        <w:rPr>
          <w:rFonts w:ascii="宋体" w:hAnsi="宋体"/>
          <w:b/>
          <w:color w:val="000000"/>
          <w:spacing w:val="4"/>
          <w:sz w:val="44"/>
          <w:szCs w:val="44"/>
        </w:rPr>
      </w:pPr>
    </w:p>
    <w:p w14:paraId="55DBC69D">
      <w:pPr>
        <w:spacing w:line="360" w:lineRule="auto"/>
        <w:ind w:firstLine="2001" w:firstLineChars="445"/>
        <w:rPr>
          <w:rFonts w:ascii="宋体" w:hAnsi="宋体"/>
          <w:b/>
          <w:color w:val="000000"/>
          <w:spacing w:val="4"/>
          <w:sz w:val="44"/>
          <w:szCs w:val="44"/>
        </w:rPr>
      </w:pPr>
    </w:p>
    <w:p w14:paraId="45333896">
      <w:pPr>
        <w:spacing w:line="360" w:lineRule="auto"/>
        <w:ind w:firstLine="2001" w:firstLineChars="445"/>
        <w:rPr>
          <w:rFonts w:ascii="宋体" w:hAnsi="宋体"/>
          <w:b/>
          <w:color w:val="000000"/>
          <w:spacing w:val="4"/>
          <w:sz w:val="44"/>
          <w:szCs w:val="44"/>
        </w:rPr>
      </w:pPr>
    </w:p>
    <w:p w14:paraId="136B70A5">
      <w:pPr>
        <w:spacing w:line="360" w:lineRule="auto"/>
        <w:rPr>
          <w:rFonts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Ansi="宋体"/>
          <w:bCs/>
          <w:sz w:val="24"/>
        </w:rPr>
      </w:pPr>
    </w:p>
    <w:p w14:paraId="7A603F00">
      <w:pPr>
        <w:tabs>
          <w:tab w:val="left" w:pos="210"/>
          <w:tab w:val="left" w:pos="840"/>
          <w:tab w:val="left" w:pos="1155"/>
        </w:tabs>
        <w:spacing w:line="440" w:lineRule="exact"/>
        <w:ind w:left="420" w:leftChars="200" w:firstLine="420" w:firstLineChars="175"/>
        <w:rPr>
          <w:rFonts w:hAnsi="宋体"/>
          <w:bCs/>
          <w:sz w:val="24"/>
        </w:rPr>
      </w:pPr>
    </w:p>
    <w:p w14:paraId="595DD2DE">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9B8F13A">
      <w:pPr>
        <w:spacing w:before="156" w:beforeLines="50" w:line="360" w:lineRule="auto"/>
        <w:rPr>
          <w:rFonts w:ascii="宋体" w:hAnsi="宋体"/>
          <w:b/>
          <w:kern w:val="0"/>
          <w:szCs w:val="21"/>
        </w:rPr>
      </w:pPr>
    </w:p>
    <w:p w14:paraId="070B21CC">
      <w:pPr>
        <w:spacing w:line="360" w:lineRule="auto"/>
        <w:rPr>
          <w:rFonts w:ascii="宋体" w:hAnsi="宋体"/>
          <w:szCs w:val="21"/>
        </w:rPr>
      </w:pPr>
    </w:p>
    <w:p w14:paraId="511C4CC6">
      <w:pPr>
        <w:spacing w:line="360" w:lineRule="auto"/>
        <w:rPr>
          <w:rFonts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ascii="宋体" w:hAnsi="宋体" w:cs="宋体"/>
          <w:bCs/>
          <w:sz w:val="28"/>
          <w:szCs w:val="28"/>
        </w:rPr>
      </w:pPr>
    </w:p>
    <w:p w14:paraId="181807C1">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ascii="宋体" w:hAnsi="宋体" w:cs="宋体"/>
                <w:sz w:val="24"/>
                <w:szCs w:val="22"/>
              </w:rPr>
            </w:pPr>
            <w:r>
              <w:rPr>
                <w:rFonts w:hint="eastAsia" w:ascii="宋体" w:hAnsi="宋体" w:cs="宋体"/>
                <w:sz w:val="24"/>
                <w:szCs w:val="22"/>
              </w:rPr>
              <w:t>项目总报价</w:t>
            </w:r>
          </w:p>
          <w:p w14:paraId="083810C8">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ascii="宋体" w:hAnsi="宋体" w:cs="宋体"/>
                <w:sz w:val="24"/>
                <w:szCs w:val="22"/>
              </w:rPr>
            </w:pP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ascii="宋体" w:hAnsi="宋体" w:cs="宋体"/>
                <w:sz w:val="24"/>
                <w:szCs w:val="22"/>
              </w:rPr>
            </w:pPr>
            <w:r>
              <w:rPr>
                <w:rFonts w:hint="eastAsia" w:ascii="宋体" w:hAnsi="宋体" w:cs="宋体"/>
                <w:sz w:val="24"/>
                <w:szCs w:val="22"/>
              </w:rPr>
              <w:t>投标文件</w:t>
            </w:r>
          </w:p>
          <w:p w14:paraId="13978F82">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ascii="宋体" w:hAnsi="宋体"/>
          <w:color w:val="000000"/>
          <w:sz w:val="24"/>
        </w:rPr>
      </w:pPr>
      <w:r>
        <w:rPr>
          <w:rFonts w:hint="eastAsia" w:ascii="宋体" w:hAnsi="宋体"/>
          <w:color w:val="000000"/>
          <w:sz w:val="24"/>
        </w:rPr>
        <w:t> </w:t>
      </w:r>
    </w:p>
    <w:p w14:paraId="73FED1CB">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ascii="宋体" w:hAnsi="宋体"/>
          <w:color w:val="000000"/>
          <w:sz w:val="24"/>
        </w:rPr>
      </w:pPr>
      <w:r>
        <w:pict>
          <v:shape id="文本框 2" o:spid="_x0000_s1027"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1026"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0ED8B798">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066716"/>
    <w:rsid w:val="00100CC9"/>
    <w:rsid w:val="0010180B"/>
    <w:rsid w:val="00123B11"/>
    <w:rsid w:val="00123BED"/>
    <w:rsid w:val="001349F5"/>
    <w:rsid w:val="00136029"/>
    <w:rsid w:val="001B4F61"/>
    <w:rsid w:val="001D2D28"/>
    <w:rsid w:val="001E4994"/>
    <w:rsid w:val="002343F0"/>
    <w:rsid w:val="0028298A"/>
    <w:rsid w:val="002903EC"/>
    <w:rsid w:val="002D4C22"/>
    <w:rsid w:val="002D6EE5"/>
    <w:rsid w:val="002F156F"/>
    <w:rsid w:val="00314C47"/>
    <w:rsid w:val="00374E2D"/>
    <w:rsid w:val="003833D1"/>
    <w:rsid w:val="003F6A6E"/>
    <w:rsid w:val="00420E1C"/>
    <w:rsid w:val="00421A59"/>
    <w:rsid w:val="004363D9"/>
    <w:rsid w:val="00444229"/>
    <w:rsid w:val="00453F91"/>
    <w:rsid w:val="004601DD"/>
    <w:rsid w:val="00477556"/>
    <w:rsid w:val="004925CE"/>
    <w:rsid w:val="0049505C"/>
    <w:rsid w:val="004E121B"/>
    <w:rsid w:val="004E50FB"/>
    <w:rsid w:val="00512F90"/>
    <w:rsid w:val="005130D5"/>
    <w:rsid w:val="005431EA"/>
    <w:rsid w:val="005731E9"/>
    <w:rsid w:val="005808A1"/>
    <w:rsid w:val="005B30E5"/>
    <w:rsid w:val="005C67BA"/>
    <w:rsid w:val="005E119F"/>
    <w:rsid w:val="006566A2"/>
    <w:rsid w:val="00662F7C"/>
    <w:rsid w:val="006B0474"/>
    <w:rsid w:val="006C5E8E"/>
    <w:rsid w:val="006C79FE"/>
    <w:rsid w:val="006D51D9"/>
    <w:rsid w:val="0070534E"/>
    <w:rsid w:val="00706964"/>
    <w:rsid w:val="007223CA"/>
    <w:rsid w:val="007274EA"/>
    <w:rsid w:val="00734E6A"/>
    <w:rsid w:val="00750B7A"/>
    <w:rsid w:val="00761446"/>
    <w:rsid w:val="007C653C"/>
    <w:rsid w:val="007F3C9C"/>
    <w:rsid w:val="007F59B4"/>
    <w:rsid w:val="008323B9"/>
    <w:rsid w:val="00834FD6"/>
    <w:rsid w:val="008761E8"/>
    <w:rsid w:val="0088041D"/>
    <w:rsid w:val="0088110F"/>
    <w:rsid w:val="00882D91"/>
    <w:rsid w:val="00892A72"/>
    <w:rsid w:val="00893261"/>
    <w:rsid w:val="008C3671"/>
    <w:rsid w:val="00942ABD"/>
    <w:rsid w:val="009513AB"/>
    <w:rsid w:val="00953C1C"/>
    <w:rsid w:val="00953E2C"/>
    <w:rsid w:val="00993E03"/>
    <w:rsid w:val="009B1AC1"/>
    <w:rsid w:val="009C0534"/>
    <w:rsid w:val="009C0A58"/>
    <w:rsid w:val="009D41A7"/>
    <w:rsid w:val="00A20E09"/>
    <w:rsid w:val="00A30660"/>
    <w:rsid w:val="00A513B0"/>
    <w:rsid w:val="00A533B2"/>
    <w:rsid w:val="00A64152"/>
    <w:rsid w:val="00A71731"/>
    <w:rsid w:val="00AD1578"/>
    <w:rsid w:val="00B00731"/>
    <w:rsid w:val="00B04362"/>
    <w:rsid w:val="00B05C0F"/>
    <w:rsid w:val="00B1580E"/>
    <w:rsid w:val="00B84F67"/>
    <w:rsid w:val="00B91BFE"/>
    <w:rsid w:val="00BC5580"/>
    <w:rsid w:val="00BC5934"/>
    <w:rsid w:val="00BD6DB0"/>
    <w:rsid w:val="00BE5E67"/>
    <w:rsid w:val="00BF0541"/>
    <w:rsid w:val="00C105C6"/>
    <w:rsid w:val="00C15AC7"/>
    <w:rsid w:val="00C17EA0"/>
    <w:rsid w:val="00C36375"/>
    <w:rsid w:val="00C96F8E"/>
    <w:rsid w:val="00CA0710"/>
    <w:rsid w:val="00CB596E"/>
    <w:rsid w:val="00CD7553"/>
    <w:rsid w:val="00CF38D7"/>
    <w:rsid w:val="00CF6808"/>
    <w:rsid w:val="00D00CC9"/>
    <w:rsid w:val="00D2036E"/>
    <w:rsid w:val="00D269ED"/>
    <w:rsid w:val="00D34F37"/>
    <w:rsid w:val="00D5278A"/>
    <w:rsid w:val="00D60B6F"/>
    <w:rsid w:val="00D63619"/>
    <w:rsid w:val="00D7577F"/>
    <w:rsid w:val="00D77C56"/>
    <w:rsid w:val="00DA09B4"/>
    <w:rsid w:val="00DD3BF6"/>
    <w:rsid w:val="00DE46CE"/>
    <w:rsid w:val="00E26AB3"/>
    <w:rsid w:val="00E32945"/>
    <w:rsid w:val="00E37AC0"/>
    <w:rsid w:val="00E40268"/>
    <w:rsid w:val="00E525C0"/>
    <w:rsid w:val="00E52740"/>
    <w:rsid w:val="00E92210"/>
    <w:rsid w:val="00EF5FBC"/>
    <w:rsid w:val="00F17C01"/>
    <w:rsid w:val="00F45E40"/>
    <w:rsid w:val="00F508F2"/>
    <w:rsid w:val="00F7062E"/>
    <w:rsid w:val="00F70A45"/>
    <w:rsid w:val="00F74BDC"/>
    <w:rsid w:val="00F90635"/>
    <w:rsid w:val="00F91D38"/>
    <w:rsid w:val="00F9659F"/>
    <w:rsid w:val="00FA0CA4"/>
    <w:rsid w:val="00FB4C1D"/>
    <w:rsid w:val="01C458F4"/>
    <w:rsid w:val="072B56AB"/>
    <w:rsid w:val="140212F1"/>
    <w:rsid w:val="18175839"/>
    <w:rsid w:val="18D56523"/>
    <w:rsid w:val="281F201A"/>
    <w:rsid w:val="33330D0B"/>
    <w:rsid w:val="4F7F3FEF"/>
    <w:rsid w:val="525369DD"/>
    <w:rsid w:val="61F27FE3"/>
    <w:rsid w:val="68F97D0D"/>
    <w:rsid w:val="6F3941C4"/>
    <w:rsid w:val="7F8A0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61"/>
    <w:basedOn w:val="20"/>
    <w:qFormat/>
    <w:uiPriority w:val="0"/>
    <w:rPr>
      <w:rFonts w:hint="default" w:ascii="Times New Roman" w:hAnsi="Times New Roman" w:cs="Times New Roman"/>
      <w:color w:val="000000"/>
      <w:sz w:val="20"/>
      <w:szCs w:val="20"/>
      <w:u w:val="none"/>
    </w:rPr>
  </w:style>
  <w:style w:type="character" w:customStyle="1" w:styleId="47">
    <w:name w:val="font51"/>
    <w:basedOn w:val="20"/>
    <w:qFormat/>
    <w:uiPriority w:val="0"/>
    <w:rPr>
      <w:rFonts w:hint="eastAsia" w:ascii="宋体" w:hAnsi="宋体" w:eastAsia="宋体" w:cs="宋体"/>
      <w:color w:val="000000"/>
      <w:sz w:val="20"/>
      <w:szCs w:val="20"/>
      <w:u w:val="none"/>
    </w:rPr>
  </w:style>
  <w:style w:type="character" w:customStyle="1" w:styleId="48">
    <w:name w:val="font71"/>
    <w:basedOn w:val="20"/>
    <w:qFormat/>
    <w:uiPriority w:val="0"/>
    <w:rPr>
      <w:rFonts w:hint="eastAsia" w:ascii="宋体" w:hAnsi="宋体" w:eastAsia="宋体" w:cs="宋体"/>
      <w:color w:val="000000"/>
      <w:sz w:val="18"/>
      <w:szCs w:val="18"/>
      <w:u w:val="none"/>
    </w:rPr>
  </w:style>
  <w:style w:type="character" w:customStyle="1" w:styleId="49">
    <w:name w:val="font81"/>
    <w:basedOn w:val="20"/>
    <w:qFormat/>
    <w:uiPriority w:val="0"/>
    <w:rPr>
      <w:rFonts w:hint="eastAsia" w:ascii="宋体" w:hAnsi="宋体" w:eastAsia="宋体" w:cs="宋体"/>
      <w:color w:val="000000"/>
      <w:sz w:val="18"/>
      <w:szCs w:val="18"/>
      <w:u w:val="none"/>
      <w:vertAlign w:val="superscript"/>
    </w:rPr>
  </w:style>
  <w:style w:type="character" w:customStyle="1" w:styleId="50">
    <w:name w:val="font91"/>
    <w:basedOn w:val="20"/>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7019</Words>
  <Characters>7576</Characters>
  <Lines>66</Lines>
  <Paragraphs>18</Paragraphs>
  <TotalTime>1</TotalTime>
  <ScaleCrop>false</ScaleCrop>
  <LinksUpToDate>false</LinksUpToDate>
  <CharactersWithSpaces>8901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2026-06-24T00:47:20Z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