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49D07F0">
      <w:pPr>
        <w:rPr>
          <w:rFonts w:hint="eastAsia" w:ascii="华文中宋" w:hAnsi="华文中宋" w:eastAsia="华文中宋"/>
          <w:bCs/>
          <w:color w:val="0D0D0D"/>
          <w:sz w:val="30"/>
        </w:rPr>
      </w:pPr>
    </w:p>
    <w:p w14:paraId="2CD69790">
      <w:pPr>
        <w:rPr>
          <w:rFonts w:hint="eastAsia" w:ascii="华文中宋" w:hAnsi="华文中宋" w:eastAsia="华文中宋"/>
          <w:bCs/>
          <w:color w:val="0D0D0D"/>
          <w:sz w:val="30"/>
        </w:rPr>
      </w:pPr>
    </w:p>
    <w:p w14:paraId="4C28FA63">
      <w:pPr>
        <w:spacing w:line="300" w:lineRule="auto"/>
        <w:rPr>
          <w:rFonts w:hint="eastAsia" w:ascii="宋体" w:hAnsi="宋体"/>
          <w:color w:val="000000"/>
          <w:sz w:val="28"/>
          <w:szCs w:val="28"/>
        </w:rPr>
      </w:pPr>
      <w:r>
        <w:rPr>
          <w:rFonts w:hint="eastAsia" w:ascii="宋体" w:hAnsi="宋体"/>
          <w:color w:val="000000"/>
          <w:sz w:val="28"/>
          <w:szCs w:val="28"/>
        </w:rPr>
        <w:t>项目名称：网络安全等级保护测评 </w:t>
      </w:r>
    </w:p>
    <w:p w14:paraId="1D2C7805">
      <w:pPr>
        <w:spacing w:line="300" w:lineRule="auto"/>
        <w:rPr>
          <w:rFonts w:hint="eastAsia" w:ascii="宋体" w:hAnsi="宋体"/>
          <w:color w:val="000000"/>
          <w:sz w:val="28"/>
          <w:szCs w:val="28"/>
        </w:rPr>
      </w:pPr>
      <w:r>
        <w:rPr>
          <w:rFonts w:hint="eastAsia" w:ascii="宋体" w:hAnsi="宋体"/>
          <w:color w:val="000000"/>
          <w:sz w:val="28"/>
          <w:szCs w:val="28"/>
        </w:rPr>
        <w:t>项目编号：JSITFW2025081901</w:t>
      </w:r>
    </w:p>
    <w:p w14:paraId="52DDB04A">
      <w:pPr>
        <w:rPr>
          <w:rFonts w:hint="eastAsia" w:ascii="华文中宋" w:hAnsi="华文中宋" w:eastAsia="华文中宋"/>
          <w:bCs/>
          <w:color w:val="000000"/>
          <w:sz w:val="30"/>
          <w:szCs w:val="30"/>
        </w:rPr>
      </w:pPr>
    </w:p>
    <w:p w14:paraId="659219A1">
      <w:pPr>
        <w:rPr>
          <w:rFonts w:hint="eastAsia" w:ascii="华文中宋" w:hAnsi="华文中宋" w:eastAsia="华文中宋"/>
          <w:bCs/>
          <w:color w:val="000000"/>
          <w:sz w:val="32"/>
        </w:rPr>
      </w:pPr>
    </w:p>
    <w:p w14:paraId="5E41D35C">
      <w:pPr>
        <w:rPr>
          <w:rFonts w:hint="eastAsia" w:ascii="华文中宋" w:hAnsi="华文中宋" w:eastAsia="华文中宋"/>
          <w:bCs/>
          <w:color w:val="000000"/>
          <w:sz w:val="32"/>
        </w:rPr>
      </w:pPr>
    </w:p>
    <w:p w14:paraId="634EB753">
      <w:pPr>
        <w:rPr>
          <w:rFonts w:hint="eastAsia" w:ascii="华文中宋" w:hAnsi="华文中宋" w:eastAsia="华文中宋"/>
          <w:bCs/>
          <w:color w:val="000000"/>
          <w:sz w:val="32"/>
        </w:rPr>
      </w:pPr>
    </w:p>
    <w:p w14:paraId="654BCBF6">
      <w:pPr>
        <w:rPr>
          <w:rFonts w:hint="eastAsia" w:ascii="华文中宋" w:hAnsi="华文中宋" w:eastAsia="华文中宋"/>
          <w:bCs/>
          <w:color w:val="000000"/>
          <w:sz w:val="32"/>
        </w:rPr>
      </w:pPr>
    </w:p>
    <w:p w14:paraId="3B408371">
      <w:pPr>
        <w:rPr>
          <w:rFonts w:hint="eastAsia" w:ascii="华文中宋" w:hAnsi="华文中宋" w:eastAsia="华文中宋"/>
          <w:bCs/>
          <w:color w:val="000000"/>
          <w:sz w:val="32"/>
        </w:rPr>
      </w:pPr>
    </w:p>
    <w:p w14:paraId="5EE08186">
      <w:pPr>
        <w:rPr>
          <w:rFonts w:hint="eastAsia" w:ascii="华文中宋" w:hAnsi="华文中宋" w:eastAsia="华文中宋"/>
          <w:bCs/>
          <w:color w:val="000000"/>
          <w:sz w:val="32"/>
        </w:rPr>
      </w:pPr>
    </w:p>
    <w:p w14:paraId="62C21215">
      <w:pPr>
        <w:rPr>
          <w:rFonts w:hint="eastAsia" w:ascii="华文中宋" w:hAnsi="华文中宋" w:eastAsia="华文中宋"/>
          <w:bCs/>
          <w:color w:val="000000"/>
          <w:sz w:val="32"/>
        </w:rPr>
      </w:pPr>
    </w:p>
    <w:p w14:paraId="2CB88AE3">
      <w:pPr>
        <w:jc w:val="left"/>
        <w:rPr>
          <w:rFonts w:hint="eastAsia" w:ascii="华文中宋" w:hAnsi="华文中宋" w:eastAsia="华文中宋"/>
          <w:bCs/>
          <w:color w:val="000000"/>
          <w:sz w:val="32"/>
        </w:rPr>
      </w:pPr>
    </w:p>
    <w:p w14:paraId="5360CBEC">
      <w:pPr>
        <w:jc w:val="center"/>
        <w:rPr>
          <w:rFonts w:hint="eastAsia" w:ascii="宋体" w:hAnsi="宋体"/>
          <w:color w:val="000000"/>
          <w:sz w:val="32"/>
        </w:rPr>
      </w:pPr>
      <w:r>
        <w:rPr>
          <w:rFonts w:hint="eastAsia" w:ascii="宋体" w:hAnsi="宋体"/>
          <w:color w:val="000000"/>
          <w:sz w:val="32"/>
        </w:rPr>
        <w:t>江苏信息职业技术学院招投标中心</w:t>
      </w:r>
    </w:p>
    <w:p w14:paraId="0F91F413">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19</w:t>
      </w:r>
      <w:r>
        <w:rPr>
          <w:rFonts w:hint="eastAsia" w:ascii="宋体" w:hAnsi="宋体" w:eastAsia="宋体"/>
          <w:color w:val="000000"/>
        </w:rPr>
        <w:t>日</w:t>
      </w:r>
    </w:p>
    <w:p w14:paraId="4DE808AD">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2C19DDC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hint="eastAsia" w:ascii="宋体" w:hAnsi="宋体"/>
          <w:color w:val="000000"/>
          <w:spacing w:val="4"/>
          <w:sz w:val="24"/>
        </w:rPr>
      </w:pPr>
    </w:p>
    <w:p w14:paraId="615CA1F1">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江苏信息职业技术学院招投标中心受学校委托，就学校采购网络安全等级保护测评项目进行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34B31A0">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名称：网络安全等级保护测评 </w:t>
      </w:r>
    </w:p>
    <w:p w14:paraId="14DBC148">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编号：JSITFW2025081901</w:t>
      </w:r>
    </w:p>
    <w:p w14:paraId="5BD1614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767B74D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5.5</w:t>
      </w:r>
      <w:r>
        <w:rPr>
          <w:rFonts w:hint="eastAsia" w:ascii="宋体" w:hAnsi="宋体"/>
          <w:b/>
          <w:color w:val="000000"/>
          <w:spacing w:val="4"/>
          <w:sz w:val="24"/>
        </w:rPr>
        <w:t>万元</w:t>
      </w:r>
    </w:p>
    <w:p w14:paraId="29FA3432">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29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日9时00分</w:t>
      </w:r>
    </w:p>
    <w:p w14:paraId="4698A281">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日9时30分</w:t>
      </w:r>
    </w:p>
    <w:p w14:paraId="7A43BB57">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日9时30分</w:t>
      </w:r>
    </w:p>
    <w:p w14:paraId="710B65B6">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0B46723">
      <w:pPr>
        <w:spacing w:line="360" w:lineRule="auto"/>
        <w:ind w:firstLine="969" w:firstLineChars="391"/>
        <w:rPr>
          <w:color w:val="000000"/>
          <w:spacing w:val="4"/>
          <w:sz w:val="24"/>
        </w:rPr>
      </w:pPr>
      <w:r>
        <w:rPr>
          <w:rFonts w:hint="eastAsia"/>
          <w:color w:val="000000"/>
          <w:spacing w:val="4"/>
          <w:sz w:val="24"/>
        </w:rPr>
        <w:t>技术联系人：陆老师</w:t>
      </w:r>
    </w:p>
    <w:p w14:paraId="65D9A5DA">
      <w:pPr>
        <w:spacing w:line="360" w:lineRule="auto"/>
        <w:ind w:firstLine="969" w:firstLineChars="391"/>
        <w:rPr>
          <w:color w:val="000000"/>
          <w:spacing w:val="4"/>
          <w:sz w:val="24"/>
        </w:rPr>
      </w:pPr>
      <w:r>
        <w:rPr>
          <w:rFonts w:hint="eastAsia"/>
          <w:color w:val="000000"/>
          <w:spacing w:val="4"/>
          <w:sz w:val="24"/>
        </w:rPr>
        <w:t>联系电话：13656178081</w:t>
      </w:r>
    </w:p>
    <w:p w14:paraId="65DA62AD">
      <w:pPr>
        <w:spacing w:line="360" w:lineRule="auto"/>
        <w:ind w:firstLine="969" w:firstLineChars="391"/>
        <w:rPr>
          <w:color w:val="000000"/>
          <w:spacing w:val="4"/>
          <w:sz w:val="24"/>
        </w:rPr>
      </w:pPr>
      <w:r>
        <w:rPr>
          <w:rFonts w:hint="eastAsia"/>
          <w:color w:val="000000"/>
          <w:spacing w:val="4"/>
          <w:sz w:val="24"/>
        </w:rPr>
        <w:t>商务联系人：王老师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25</w:t>
      </w:r>
      <w:r>
        <w:rPr>
          <w:rFonts w:hint="eastAsia"/>
          <w:color w:val="000000"/>
          <w:spacing w:val="4"/>
          <w:sz w:val="24"/>
        </w:rPr>
        <w:t>日</w:t>
      </w:r>
    </w:p>
    <w:bookmarkEnd w:id="9"/>
    <w:p w14:paraId="2F8C8C83">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hint="eastAsia"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236445CB">
            <w:pPr>
              <w:tabs>
                <w:tab w:val="left" w:pos="945"/>
              </w:tabs>
              <w:adjustRightInd w:val="0"/>
              <w:snapToGrid w:val="0"/>
              <w:spacing w:line="360" w:lineRule="auto"/>
              <w:rPr>
                <w:rFonts w:hint="eastAsia"/>
                <w:sz w:val="24"/>
              </w:rPr>
            </w:pPr>
            <w:r>
              <w:rPr>
                <w:rFonts w:hint="eastAsia"/>
                <w:sz w:val="24"/>
              </w:rPr>
              <w:t>投标价格（3</w:t>
            </w:r>
            <w:r>
              <w:rPr>
                <w:rFonts w:hint="eastAsia"/>
                <w:sz w:val="24"/>
                <w:lang w:val="en-US" w:eastAsia="zh-CN"/>
              </w:rPr>
              <w:t>0</w:t>
            </w:r>
            <w:r>
              <w:rPr>
                <w:rFonts w:hint="eastAsia"/>
                <w:sz w:val="24"/>
              </w:rPr>
              <w:t>分）</w:t>
            </w:r>
          </w:p>
        </w:tc>
        <w:tc>
          <w:tcPr>
            <w:tcW w:w="6664" w:type="dxa"/>
            <w:vAlign w:val="center"/>
          </w:tcPr>
          <w:p w14:paraId="6A810DC7">
            <w:pPr>
              <w:tabs>
                <w:tab w:val="left" w:pos="945"/>
              </w:tabs>
              <w:adjustRightInd w:val="0"/>
              <w:snapToGrid w:val="0"/>
              <w:spacing w:line="360" w:lineRule="auto"/>
              <w:rPr>
                <w:rFonts w:hint="eastAsia"/>
                <w:sz w:val="24"/>
              </w:rPr>
            </w:pPr>
            <w:r>
              <w:rPr>
                <w:rFonts w:hint="eastAsia"/>
                <w:sz w:val="24"/>
              </w:rPr>
              <w:t>采用低价优先法计算，即满足招标文件要求且投标价格最低的投标报价为评标基准价，其价格分为满分。其他投标人的价格分统一按照下列公式计算（计算结果四舍五入，保留小数点后2位）：</w:t>
            </w:r>
          </w:p>
          <w:p w14:paraId="28EA3942">
            <w:pPr>
              <w:tabs>
                <w:tab w:val="left" w:pos="945"/>
              </w:tabs>
              <w:adjustRightInd w:val="0"/>
              <w:snapToGrid w:val="0"/>
              <w:spacing w:line="360" w:lineRule="auto"/>
              <w:rPr>
                <w:rFonts w:hint="eastAsia"/>
                <w:sz w:val="24"/>
              </w:rPr>
            </w:pPr>
            <w:r>
              <w:rPr>
                <w:rFonts w:hint="eastAsia"/>
                <w:sz w:val="24"/>
              </w:rPr>
              <w:t>投标报价得分=（评标基准价／投标报价）×3</w:t>
            </w:r>
            <w:r>
              <w:rPr>
                <w:rFonts w:hint="eastAsia"/>
                <w:sz w:val="24"/>
                <w:lang w:val="en-US" w:eastAsia="zh-CN"/>
              </w:rPr>
              <w:t>0</w:t>
            </w:r>
            <w:r>
              <w:rPr>
                <w:rFonts w:hint="eastAsia"/>
                <w:sz w:val="24"/>
              </w:rPr>
              <w:t>。</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F8972CA">
            <w:pPr>
              <w:tabs>
                <w:tab w:val="left" w:pos="945"/>
              </w:tabs>
              <w:adjustRightInd w:val="0"/>
              <w:snapToGrid w:val="0"/>
              <w:spacing w:line="360" w:lineRule="auto"/>
              <w:rPr>
                <w:rFonts w:hint="default"/>
                <w:sz w:val="24"/>
                <w:lang w:val="en-US" w:eastAsia="zh-CN"/>
              </w:rPr>
            </w:pPr>
            <w:r>
              <w:rPr>
                <w:rFonts w:hint="eastAsia"/>
                <w:sz w:val="24"/>
                <w:lang w:val="en-US" w:eastAsia="zh-CN"/>
              </w:rPr>
              <w:t>企业业绩（3分）</w:t>
            </w:r>
          </w:p>
        </w:tc>
        <w:tc>
          <w:tcPr>
            <w:tcW w:w="6664" w:type="dxa"/>
            <w:vAlign w:val="center"/>
          </w:tcPr>
          <w:p w14:paraId="434E9F01">
            <w:pPr>
              <w:tabs>
                <w:tab w:val="left" w:pos="945"/>
              </w:tabs>
              <w:adjustRightInd w:val="0"/>
              <w:snapToGrid w:val="0"/>
              <w:spacing w:line="360" w:lineRule="auto"/>
              <w:rPr>
                <w:rFonts w:hint="eastAsia"/>
                <w:sz w:val="24"/>
              </w:rPr>
            </w:pPr>
            <w:r>
              <w:rPr>
                <w:rFonts w:hint="eastAsia"/>
                <w:sz w:val="24"/>
              </w:rPr>
              <w:t>提供自202</w:t>
            </w:r>
            <w:r>
              <w:rPr>
                <w:rFonts w:hint="eastAsia"/>
                <w:sz w:val="24"/>
                <w:lang w:val="en-US" w:eastAsia="zh-CN"/>
              </w:rPr>
              <w:t>2</w:t>
            </w:r>
            <w:r>
              <w:rPr>
                <w:rFonts w:hint="eastAsia"/>
                <w:sz w:val="24"/>
              </w:rPr>
              <w:t>年</w:t>
            </w:r>
            <w:r>
              <w:rPr>
                <w:rFonts w:hint="eastAsia"/>
                <w:sz w:val="24"/>
                <w:lang w:val="en-US" w:eastAsia="zh-CN"/>
              </w:rPr>
              <w:t>8</w:t>
            </w:r>
            <w:r>
              <w:rPr>
                <w:rFonts w:hint="eastAsia"/>
                <w:sz w:val="24"/>
              </w:rPr>
              <w:t>月 1 日至参选截止之日前，承担过同类服务相关案例，有一个得1分，最高得</w:t>
            </w:r>
            <w:r>
              <w:rPr>
                <w:rFonts w:hint="eastAsia"/>
                <w:sz w:val="24"/>
                <w:lang w:val="en-US" w:eastAsia="zh-CN"/>
              </w:rPr>
              <w:t>3</w:t>
            </w:r>
            <w:r>
              <w:rPr>
                <w:rFonts w:hint="eastAsia"/>
                <w:sz w:val="24"/>
              </w:rPr>
              <w:t>分。需提供合同复印件，并加盖公章。</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restart"/>
            <w:noWrap/>
            <w:vAlign w:val="center"/>
          </w:tcPr>
          <w:p w14:paraId="53511706">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2419" w:type="dxa"/>
            <w:vMerge w:val="restart"/>
            <w:noWrap/>
            <w:vAlign w:val="center"/>
          </w:tcPr>
          <w:p w14:paraId="393D48B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资质证明（6分）</w:t>
            </w:r>
          </w:p>
        </w:tc>
        <w:tc>
          <w:tcPr>
            <w:tcW w:w="6664" w:type="dxa"/>
            <w:vAlign w:val="center"/>
          </w:tcPr>
          <w:p w14:paraId="290896DD">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供应商同时具有ISO27001</w:t>
            </w:r>
            <w:r>
              <w:rPr>
                <w:rFonts w:hint="default" w:ascii="Times New Roman" w:hAnsi="Times New Roman" w:eastAsia="宋体" w:cs="Times New Roman"/>
                <w:sz w:val="24"/>
                <w:lang w:val="en-US" w:eastAsia="zh-CN"/>
              </w:rPr>
              <w:t>信息安全管理体系认证</w:t>
            </w:r>
            <w:r>
              <w:rPr>
                <w:rFonts w:hint="eastAsia" w:ascii="Times New Roman" w:hAnsi="Times New Roman" w:eastAsia="宋体" w:cs="Times New Roman"/>
                <w:sz w:val="24"/>
                <w:lang w:val="en-US" w:eastAsia="zh-CN"/>
              </w:rPr>
              <w:t>书和ISO20000信息技术服务管理体系认证证书的得3分，最高3分。所获体系认证证书须带CNAS认可标识，响应文件中提供以上有效证书复印件加盖供应商公章。否则不得分。</w:t>
            </w:r>
          </w:p>
        </w:tc>
      </w:tr>
      <w:tr w14:paraId="2347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154D3830">
            <w:pPr>
              <w:tabs>
                <w:tab w:val="left" w:pos="840"/>
                <w:tab w:val="left" w:pos="1050"/>
              </w:tabs>
              <w:adjustRightInd w:val="0"/>
              <w:snapToGrid w:val="0"/>
              <w:spacing w:line="460" w:lineRule="exact"/>
              <w:jc w:val="left"/>
            </w:pPr>
          </w:p>
        </w:tc>
        <w:tc>
          <w:tcPr>
            <w:tcW w:w="2419" w:type="dxa"/>
            <w:vMerge w:val="continue"/>
            <w:noWrap/>
            <w:vAlign w:val="center"/>
          </w:tcPr>
          <w:p w14:paraId="37D0132B">
            <w:pPr>
              <w:tabs>
                <w:tab w:val="left" w:pos="945"/>
              </w:tabs>
              <w:adjustRightInd w:val="0"/>
              <w:snapToGrid w:val="0"/>
              <w:spacing w:line="360" w:lineRule="auto"/>
              <w:rPr>
                <w:rFonts w:hint="eastAsia" w:ascii="Times New Roman" w:hAnsi="Times New Roman" w:eastAsia="宋体" w:cs="Times New Roman"/>
                <w:sz w:val="24"/>
                <w:lang w:val="en-US" w:eastAsia="zh-CN"/>
              </w:rPr>
            </w:pPr>
          </w:p>
        </w:tc>
        <w:tc>
          <w:tcPr>
            <w:tcW w:w="6664" w:type="dxa"/>
            <w:vAlign w:val="center"/>
          </w:tcPr>
          <w:p w14:paraId="21E497A7">
            <w:pPr>
              <w:tabs>
                <w:tab w:val="left" w:pos="945"/>
              </w:tabs>
              <w:adjustRightInd w:val="0"/>
              <w:snapToGrid w:val="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供应商具有信息系统业务安全服务资质CCIA的得3分，最高得3分。需提供证明文件复印件并加盖公章，否则不得分。</w:t>
            </w:r>
          </w:p>
        </w:tc>
      </w:tr>
      <w:tr w14:paraId="778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restart"/>
            <w:noWrap/>
            <w:vAlign w:val="center"/>
          </w:tcPr>
          <w:p w14:paraId="63D750CB">
            <w:pPr>
              <w:widowControl/>
              <w:spacing w:line="400" w:lineRule="exact"/>
              <w:jc w:val="center"/>
              <w:rPr>
                <w:rFonts w:hint="eastAsia" w:ascii="宋体" w:hAnsi="宋体"/>
                <w:color w:val="000000"/>
                <w:sz w:val="24"/>
              </w:rPr>
            </w:pPr>
            <w:r>
              <w:rPr>
                <w:rFonts w:hint="eastAsia" w:ascii="宋体" w:hAnsi="宋体"/>
                <w:color w:val="000000"/>
                <w:sz w:val="24"/>
              </w:rPr>
              <w:t>4</w:t>
            </w:r>
          </w:p>
          <w:p w14:paraId="2091E83D">
            <w:pPr>
              <w:widowControl/>
              <w:spacing w:line="400" w:lineRule="exact"/>
              <w:jc w:val="center"/>
              <w:rPr>
                <w:rFonts w:hint="eastAsia" w:ascii="宋体" w:hAnsi="宋体"/>
                <w:color w:val="000000"/>
                <w:sz w:val="24"/>
              </w:rPr>
            </w:pPr>
          </w:p>
        </w:tc>
        <w:tc>
          <w:tcPr>
            <w:tcW w:w="2419" w:type="dxa"/>
            <w:vMerge w:val="restart"/>
            <w:noWrap/>
            <w:vAlign w:val="center"/>
          </w:tcPr>
          <w:p w14:paraId="291EC6CA">
            <w:pPr>
              <w:tabs>
                <w:tab w:val="left" w:pos="945"/>
              </w:tabs>
              <w:adjustRightInd w:val="0"/>
              <w:snapToGrid w:val="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人员资质（7分）</w:t>
            </w:r>
          </w:p>
        </w:tc>
        <w:tc>
          <w:tcPr>
            <w:tcW w:w="6664" w:type="dxa"/>
            <w:vAlign w:val="center"/>
          </w:tcPr>
          <w:p w14:paraId="13BFBE8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项目负责人具有：信息安全高级等级测评师证书、CISAW（</w:t>
            </w:r>
            <w:r>
              <w:rPr>
                <w:rFonts w:hint="eastAsia" w:ascii="Times New Roman" w:hAnsi="Times New Roman" w:eastAsia="宋体" w:cs="Times New Roman"/>
                <w:sz w:val="24"/>
                <w:lang w:val="en-US" w:eastAsia="zh-CN"/>
              </w:rPr>
              <w:fldChar w:fldCharType="begin"/>
            </w:r>
            <w:r>
              <w:rPr>
                <w:rFonts w:hint="eastAsia" w:ascii="Times New Roman" w:hAnsi="Times New Roman" w:eastAsia="宋体" w:cs="Times New Roman"/>
                <w:sz w:val="24"/>
                <w:lang w:val="en-US" w:eastAsia="zh-CN"/>
              </w:rPr>
              <w:instrText xml:space="preserve"> HYPERLINK "https://baike.baidu.com/item/%E4%BF%A1%E6%81%AF%E5%AE%89%E5%85%A8%E4%BF%9D%E9%9A%9C/0?fromModule=lemma_inlink" \t "https://baike.baidu.com/item/CISAW/_blank" </w:instrText>
            </w:r>
            <w:r>
              <w:rPr>
                <w:rFonts w:hint="eastAsia" w:ascii="Times New Roman" w:hAnsi="Times New Roman" w:eastAsia="宋体" w:cs="Times New Roman"/>
                <w:sz w:val="24"/>
                <w:lang w:val="en-US" w:eastAsia="zh-CN"/>
              </w:rPr>
              <w:fldChar w:fldCharType="separate"/>
            </w:r>
            <w:r>
              <w:rPr>
                <w:rFonts w:hint="eastAsia" w:ascii="Times New Roman" w:hAnsi="Times New Roman" w:eastAsia="宋体" w:cs="Times New Roman"/>
                <w:sz w:val="24"/>
                <w:lang w:val="en-US" w:eastAsia="zh-CN"/>
              </w:rPr>
              <w:t>信息安全保障</w:t>
            </w:r>
            <w:r>
              <w:rPr>
                <w:rFonts w:hint="eastAsia" w:ascii="Times New Roman" w:hAnsi="Times New Roman" w:eastAsia="宋体" w:cs="Times New Roman"/>
                <w:sz w:val="24"/>
                <w:lang w:val="en-US" w:eastAsia="zh-CN"/>
              </w:rPr>
              <w:fldChar w:fldCharType="end"/>
            </w:r>
            <w:r>
              <w:rPr>
                <w:rFonts w:hint="eastAsia" w:ascii="Times New Roman" w:hAnsi="Times New Roman" w:eastAsia="宋体" w:cs="Times New Roman"/>
                <w:sz w:val="24"/>
                <w:lang w:val="en-US" w:eastAsia="zh-CN"/>
              </w:rPr>
              <w:t>人员认证）证书、CCSC网络安全技术（I级）证书，每有一张证书得1分，最高3分。提供证书复印件并加盖公章，不提供不得分。</w:t>
            </w:r>
          </w:p>
        </w:tc>
      </w:tr>
      <w:tr w14:paraId="1A23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continue"/>
            <w:noWrap/>
            <w:vAlign w:val="center"/>
          </w:tcPr>
          <w:p w14:paraId="51CD8CFC">
            <w:pPr>
              <w:tabs>
                <w:tab w:val="left" w:pos="840"/>
                <w:tab w:val="left" w:pos="1050"/>
              </w:tabs>
              <w:adjustRightInd w:val="0"/>
              <w:snapToGrid w:val="0"/>
              <w:spacing w:line="460" w:lineRule="exact"/>
              <w:jc w:val="left"/>
            </w:pPr>
          </w:p>
        </w:tc>
        <w:tc>
          <w:tcPr>
            <w:tcW w:w="2419" w:type="dxa"/>
            <w:vMerge w:val="continue"/>
            <w:noWrap/>
            <w:vAlign w:val="center"/>
          </w:tcPr>
          <w:p w14:paraId="63A8C7C5">
            <w:pPr>
              <w:tabs>
                <w:tab w:val="left" w:pos="945"/>
              </w:tabs>
              <w:adjustRightInd w:val="0"/>
              <w:snapToGrid w:val="0"/>
              <w:spacing w:line="360" w:lineRule="auto"/>
              <w:rPr>
                <w:rFonts w:hint="eastAsia" w:ascii="Times New Roman" w:hAnsi="Times New Roman" w:eastAsia="宋体" w:cs="Times New Roman"/>
                <w:sz w:val="24"/>
                <w:lang w:val="en-US" w:eastAsia="zh-CN"/>
              </w:rPr>
            </w:pPr>
          </w:p>
        </w:tc>
        <w:tc>
          <w:tcPr>
            <w:tcW w:w="6664" w:type="dxa"/>
            <w:vAlign w:val="center"/>
          </w:tcPr>
          <w:p w14:paraId="67B2BA0C">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除项目负责人外，项目组成员具有数字经济（网络安全）工程初级及以上专业技术资格证书，每有一人得1分，最高2分；项目组成员具有PIPP个人信息保护专业人员证书，每有一人得1分，最高2分；本项最高得4分。提供证书复印件并加盖公章，不提供不得分。</w:t>
            </w:r>
          </w:p>
        </w:tc>
      </w:tr>
      <w:tr w14:paraId="644D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restart"/>
            <w:noWrap/>
            <w:vAlign w:val="center"/>
          </w:tcPr>
          <w:p w14:paraId="149DD905">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vMerge w:val="restart"/>
            <w:noWrap/>
            <w:vAlign w:val="center"/>
          </w:tcPr>
          <w:p w14:paraId="02EB8233">
            <w:pPr>
              <w:tabs>
                <w:tab w:val="left" w:pos="945"/>
              </w:tabs>
              <w:adjustRightInd w:val="0"/>
              <w:snapToGrid w:val="0"/>
              <w:spacing w:line="360" w:lineRule="auto"/>
              <w:rPr>
                <w:rFonts w:hint="eastAsia"/>
                <w:sz w:val="24"/>
              </w:rPr>
            </w:pPr>
            <w:r>
              <w:rPr>
                <w:rFonts w:hint="eastAsia" w:ascii="Times New Roman" w:hAnsi="Times New Roman" w:eastAsia="宋体" w:cs="Times New Roman"/>
                <w:sz w:val="24"/>
                <w:lang w:val="en-US" w:eastAsia="zh-CN"/>
              </w:rPr>
              <w:t>测评工具要求（10分）</w:t>
            </w:r>
          </w:p>
        </w:tc>
        <w:tc>
          <w:tcPr>
            <w:tcW w:w="6664" w:type="dxa"/>
            <w:vAlign w:val="center"/>
          </w:tcPr>
          <w:p w14:paraId="2F6E72F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渗透测试台账（2分）：安全服务工具可通过监测中心可统一展现仿真陷阱告警事件、主机威胁事件、流量检测告警，事件及告警结果自动刷新；支持仿真陷阱、主机威胁与流量告警的关联分析，提升告警可信度；支持根据攻击行为自动研判，对攻击IP进行自动分类并打上对应的攻击者标签。提供由厂商盖章确认的产品界面截图证明，不提供不得分。</w:t>
            </w:r>
          </w:p>
        </w:tc>
      </w:tr>
      <w:tr w14:paraId="7740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3660517F">
            <w:pPr>
              <w:tabs>
                <w:tab w:val="left" w:pos="945"/>
              </w:tabs>
              <w:adjustRightInd w:val="0"/>
              <w:snapToGrid w:val="0"/>
              <w:spacing w:line="360" w:lineRule="auto"/>
            </w:pPr>
          </w:p>
        </w:tc>
        <w:tc>
          <w:tcPr>
            <w:tcW w:w="2419" w:type="dxa"/>
            <w:vMerge w:val="continue"/>
            <w:noWrap/>
            <w:vAlign w:val="center"/>
          </w:tcPr>
          <w:p w14:paraId="1FDD00F2">
            <w:pPr>
              <w:tabs>
                <w:tab w:val="left" w:pos="945"/>
              </w:tabs>
              <w:adjustRightInd w:val="0"/>
              <w:snapToGrid w:val="0"/>
              <w:spacing w:line="360" w:lineRule="auto"/>
            </w:pPr>
          </w:p>
        </w:tc>
        <w:tc>
          <w:tcPr>
            <w:tcW w:w="6664" w:type="dxa"/>
            <w:vAlign w:val="center"/>
          </w:tcPr>
          <w:p w14:paraId="6CE65C1C">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漏洞扫描与漏洞管理（2分）：漏洞库漏洞信息大于220000+条，集成3300+POC对内网资产进行自动漏洞验证与渗透，提供详细的漏洞描述和对应的解决方案描述。支持通过多种维度对漏洞进行检索，包括：CVE ID、CNNVD ID、漏洞名称、漏洞风险等级等维度。通过POC验证过的漏洞，扫描结果需包含漏洞利用证明，包括但不限于攻击Payload、目标响应结果、漏洞利用点、关键参数等内容。提供由厂商盖章确认的产品界面截图证明，不提供不得分。</w:t>
            </w:r>
          </w:p>
        </w:tc>
      </w:tr>
      <w:tr w14:paraId="06FE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3B776737">
            <w:pPr>
              <w:tabs>
                <w:tab w:val="left" w:pos="945"/>
              </w:tabs>
              <w:adjustRightInd w:val="0"/>
              <w:snapToGrid w:val="0"/>
              <w:spacing w:line="360" w:lineRule="auto"/>
              <w:rPr>
                <w:rFonts w:hint="eastAsia"/>
                <w:sz w:val="24"/>
              </w:rPr>
            </w:pPr>
          </w:p>
        </w:tc>
        <w:tc>
          <w:tcPr>
            <w:tcW w:w="2419" w:type="dxa"/>
            <w:vMerge w:val="continue"/>
            <w:noWrap/>
            <w:vAlign w:val="center"/>
          </w:tcPr>
          <w:p w14:paraId="71407584">
            <w:pPr>
              <w:tabs>
                <w:tab w:val="left" w:pos="945"/>
              </w:tabs>
              <w:adjustRightInd w:val="0"/>
              <w:snapToGrid w:val="0"/>
              <w:spacing w:line="360" w:lineRule="auto"/>
              <w:rPr>
                <w:rFonts w:hint="eastAsia"/>
                <w:sz w:val="24"/>
              </w:rPr>
            </w:pPr>
          </w:p>
        </w:tc>
        <w:tc>
          <w:tcPr>
            <w:tcW w:w="6664" w:type="dxa"/>
            <w:vAlign w:val="center"/>
          </w:tcPr>
          <w:p w14:paraId="2055D33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基线配置核查（2分）</w:t>
            </w:r>
          </w:p>
          <w:p w14:paraId="5D102E8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操作系统：支持Windows 2003/2008/2012/2016/2019/7/8/10/11；支持linux（Centos、Redhat、suse等）；</w:t>
            </w:r>
          </w:p>
          <w:p w14:paraId="18FF4B2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应用服务：支持Linux、Windows下的Apache、Weblogic、TOMCAT、Websphere、Nginx，以及windows 2003/2008/2012/下IIS 6/7/8；</w:t>
            </w:r>
          </w:p>
          <w:p w14:paraId="5462BAE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数据库：支持Linux、Windows下Oracle8i/9i/10/11g、Mysql。</w:t>
            </w:r>
          </w:p>
          <w:p w14:paraId="3B83F2CD">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大数据应用：支持Flume、HBase、Hadoop、Spark、Storm、Hadoop、ZooKeeper。</w:t>
            </w:r>
          </w:p>
          <w:p w14:paraId="0C849EB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提供由厂商盖章确认的产品界面截图证明，不提供不得分。</w:t>
            </w:r>
          </w:p>
        </w:tc>
      </w:tr>
      <w:tr w14:paraId="1F8C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13B7C1C2">
            <w:pPr>
              <w:tabs>
                <w:tab w:val="left" w:pos="945"/>
              </w:tabs>
              <w:adjustRightInd w:val="0"/>
              <w:snapToGrid w:val="0"/>
              <w:spacing w:line="360" w:lineRule="auto"/>
              <w:rPr>
                <w:rFonts w:hint="eastAsia"/>
                <w:sz w:val="24"/>
              </w:rPr>
            </w:pPr>
          </w:p>
        </w:tc>
        <w:tc>
          <w:tcPr>
            <w:tcW w:w="2419" w:type="dxa"/>
            <w:vMerge w:val="continue"/>
            <w:noWrap/>
            <w:vAlign w:val="center"/>
          </w:tcPr>
          <w:p w14:paraId="6766BB69">
            <w:pPr>
              <w:tabs>
                <w:tab w:val="left" w:pos="945"/>
              </w:tabs>
              <w:adjustRightInd w:val="0"/>
              <w:snapToGrid w:val="0"/>
              <w:spacing w:line="360" w:lineRule="auto"/>
              <w:rPr>
                <w:rFonts w:hint="eastAsia"/>
                <w:sz w:val="24"/>
              </w:rPr>
            </w:pPr>
          </w:p>
        </w:tc>
        <w:tc>
          <w:tcPr>
            <w:tcW w:w="6664" w:type="dxa"/>
            <w:vAlign w:val="center"/>
          </w:tcPr>
          <w:p w14:paraId="14E2DD6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敏感内容审查工具（2分）：可上传文件(pdf、word、excel)、或者粘贴内容进行敏感词审查，内置敏感词库10万+，支持人工再确认审查结果，提供由厂商盖章确认的产品界面截图证明，不提供不得分。</w:t>
            </w:r>
          </w:p>
        </w:tc>
      </w:tr>
      <w:tr w14:paraId="72DA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687BADD9">
            <w:pPr>
              <w:tabs>
                <w:tab w:val="left" w:pos="945"/>
              </w:tabs>
              <w:adjustRightInd w:val="0"/>
              <w:snapToGrid w:val="0"/>
              <w:spacing w:line="360" w:lineRule="auto"/>
              <w:rPr>
                <w:rFonts w:hint="eastAsia"/>
                <w:sz w:val="24"/>
              </w:rPr>
            </w:pPr>
          </w:p>
        </w:tc>
        <w:tc>
          <w:tcPr>
            <w:tcW w:w="2419" w:type="dxa"/>
            <w:vMerge w:val="continue"/>
            <w:noWrap/>
            <w:vAlign w:val="center"/>
          </w:tcPr>
          <w:p w14:paraId="68F7DC35">
            <w:pPr>
              <w:tabs>
                <w:tab w:val="left" w:pos="945"/>
              </w:tabs>
              <w:adjustRightInd w:val="0"/>
              <w:snapToGrid w:val="0"/>
              <w:spacing w:line="360" w:lineRule="auto"/>
              <w:rPr>
                <w:rFonts w:hint="eastAsia"/>
                <w:sz w:val="24"/>
              </w:rPr>
            </w:pPr>
          </w:p>
        </w:tc>
        <w:tc>
          <w:tcPr>
            <w:tcW w:w="6664" w:type="dxa"/>
            <w:vAlign w:val="center"/>
          </w:tcPr>
          <w:p w14:paraId="7A810B1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弱口令扫描研判工具（2分）：支持用户针对指定的目标IP与应用，通过在web界面上手工输入“用户名、密码”，系统将返回口令登录后的校验结果，确认弱口令是否真实存在。提供由厂商盖章确认的产品界面截图证明，不提供不得分。</w:t>
            </w:r>
          </w:p>
        </w:tc>
      </w:tr>
      <w:tr w14:paraId="2146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restart"/>
            <w:noWrap/>
            <w:vAlign w:val="center"/>
          </w:tcPr>
          <w:p w14:paraId="16ED417F">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vMerge w:val="restart"/>
            <w:noWrap/>
            <w:vAlign w:val="center"/>
          </w:tcPr>
          <w:p w14:paraId="632639A9">
            <w:pPr>
              <w:tabs>
                <w:tab w:val="left" w:pos="945"/>
              </w:tabs>
              <w:adjustRightInd w:val="0"/>
              <w:snapToGrid w:val="0"/>
              <w:spacing w:line="360" w:lineRule="auto"/>
              <w:rPr>
                <w:rFonts w:hint="eastAsia" w:eastAsia="宋体"/>
                <w:sz w:val="24"/>
                <w:lang w:eastAsia="zh-CN"/>
              </w:rPr>
            </w:pPr>
            <w:r>
              <w:rPr>
                <w:rFonts w:hint="eastAsia" w:ascii="Times New Roman" w:hAnsi="Times New Roman" w:eastAsia="宋体" w:cs="Times New Roman"/>
                <w:sz w:val="24"/>
                <w:lang w:val="en-US" w:eastAsia="zh-CN"/>
              </w:rPr>
              <w:t>测评方案（34分）</w:t>
            </w:r>
          </w:p>
        </w:tc>
        <w:tc>
          <w:tcPr>
            <w:tcW w:w="6664" w:type="dxa"/>
            <w:vAlign w:val="center"/>
          </w:tcPr>
          <w:p w14:paraId="35CE233E">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提供等保测评技术方案，从单位业务系统实际情况进行现状分析，方案内容包含：①测评内容、②测评指标、③测评方法、④测评工具。每一项完全响应需求，技术可行性强得4分；较为完整，基本响应需求得2分；无方案不得分；总分16分。； </w:t>
            </w:r>
          </w:p>
        </w:tc>
      </w:tr>
      <w:tr w14:paraId="4387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11E43367">
            <w:pPr>
              <w:tabs>
                <w:tab w:val="left" w:pos="945"/>
              </w:tabs>
              <w:adjustRightInd w:val="0"/>
              <w:snapToGrid w:val="0"/>
              <w:spacing w:line="360" w:lineRule="auto"/>
            </w:pPr>
          </w:p>
        </w:tc>
        <w:tc>
          <w:tcPr>
            <w:tcW w:w="2419" w:type="dxa"/>
            <w:vMerge w:val="continue"/>
            <w:noWrap/>
            <w:vAlign w:val="center"/>
          </w:tcPr>
          <w:p w14:paraId="660D3E04">
            <w:pPr>
              <w:tabs>
                <w:tab w:val="left" w:pos="945"/>
              </w:tabs>
              <w:adjustRightInd w:val="0"/>
              <w:snapToGrid w:val="0"/>
              <w:spacing w:line="360" w:lineRule="auto"/>
            </w:pPr>
          </w:p>
        </w:tc>
        <w:tc>
          <w:tcPr>
            <w:tcW w:w="6664" w:type="dxa"/>
            <w:vAlign w:val="center"/>
          </w:tcPr>
          <w:p w14:paraId="2AB577A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提供等保测评实施方案，方案内容包含：①实施方案、②组织架构、③进度安排。每一项完全响应需求，技术可行性强得2分；较为完整，基本响应需求得1分；无方案不得分；总分6分。</w:t>
            </w:r>
          </w:p>
        </w:tc>
      </w:tr>
      <w:tr w14:paraId="1D31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2F75A4AF">
            <w:pPr>
              <w:tabs>
                <w:tab w:val="left" w:pos="945"/>
              </w:tabs>
              <w:adjustRightInd w:val="0"/>
              <w:snapToGrid w:val="0"/>
              <w:spacing w:line="360" w:lineRule="auto"/>
            </w:pPr>
          </w:p>
        </w:tc>
        <w:tc>
          <w:tcPr>
            <w:tcW w:w="2419" w:type="dxa"/>
            <w:vMerge w:val="continue"/>
            <w:noWrap/>
            <w:vAlign w:val="center"/>
          </w:tcPr>
          <w:p w14:paraId="3CDEE8D3">
            <w:pPr>
              <w:tabs>
                <w:tab w:val="left" w:pos="945"/>
              </w:tabs>
              <w:adjustRightInd w:val="0"/>
              <w:snapToGrid w:val="0"/>
              <w:spacing w:line="360" w:lineRule="auto"/>
            </w:pPr>
          </w:p>
        </w:tc>
        <w:tc>
          <w:tcPr>
            <w:tcW w:w="6664" w:type="dxa"/>
            <w:vAlign w:val="center"/>
          </w:tcPr>
          <w:p w14:paraId="3AE7CB1A">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提供风险分析及控制措施方案，方案包含：①风险控制、②信息保密控制、③服务保障措施。每一项完全响应需求，技术可行性强得2分；较为完整，基本响应需求得1分；无方案不得分；总分6分。</w:t>
            </w:r>
          </w:p>
        </w:tc>
      </w:tr>
      <w:tr w14:paraId="3A53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5C9D6887">
            <w:pPr>
              <w:tabs>
                <w:tab w:val="left" w:pos="945"/>
              </w:tabs>
              <w:adjustRightInd w:val="0"/>
              <w:snapToGrid w:val="0"/>
              <w:spacing w:line="360" w:lineRule="auto"/>
              <w:rPr>
                <w:rFonts w:hint="eastAsia"/>
                <w:sz w:val="24"/>
              </w:rPr>
            </w:pPr>
          </w:p>
        </w:tc>
        <w:tc>
          <w:tcPr>
            <w:tcW w:w="2419" w:type="dxa"/>
            <w:vMerge w:val="continue"/>
            <w:noWrap/>
            <w:vAlign w:val="center"/>
          </w:tcPr>
          <w:p w14:paraId="1DE47EE0">
            <w:pPr>
              <w:tabs>
                <w:tab w:val="left" w:pos="945"/>
              </w:tabs>
              <w:adjustRightInd w:val="0"/>
              <w:snapToGrid w:val="0"/>
              <w:spacing w:line="360" w:lineRule="auto"/>
              <w:rPr>
                <w:rFonts w:hint="eastAsia"/>
                <w:sz w:val="24"/>
              </w:rPr>
            </w:pPr>
          </w:p>
        </w:tc>
        <w:tc>
          <w:tcPr>
            <w:tcW w:w="6664" w:type="dxa"/>
            <w:vAlign w:val="center"/>
          </w:tcPr>
          <w:p w14:paraId="05238807">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提供培训方案,方案包含：①培训目录、②培训内容、③培训交付物。每一项完全响应需求，技术可行性强得2分；较为完整，基本响应需求得1分；无方案不得分；总分6分。</w:t>
            </w:r>
          </w:p>
        </w:tc>
      </w:tr>
      <w:tr w14:paraId="1990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4C0403FB">
            <w:pPr>
              <w:tabs>
                <w:tab w:val="left" w:pos="945"/>
              </w:tabs>
              <w:adjustRightInd w:val="0"/>
              <w:snapToGrid w:val="0"/>
              <w:spacing w:line="360" w:lineRule="auto"/>
              <w:rPr>
                <w:rFonts w:hint="eastAsia" w:eastAsia="宋体"/>
                <w:sz w:val="24"/>
                <w:lang w:val="en-US" w:eastAsia="zh-CN"/>
              </w:rPr>
            </w:pPr>
            <w:r>
              <w:rPr>
                <w:rFonts w:hint="eastAsia"/>
                <w:sz w:val="24"/>
                <w:lang w:val="en-US" w:eastAsia="zh-CN"/>
              </w:rPr>
              <w:t>7</w:t>
            </w:r>
          </w:p>
        </w:tc>
        <w:tc>
          <w:tcPr>
            <w:tcW w:w="2419" w:type="dxa"/>
            <w:noWrap/>
            <w:vAlign w:val="center"/>
          </w:tcPr>
          <w:p w14:paraId="012EA74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应急响应保障服务（10分）</w:t>
            </w:r>
          </w:p>
        </w:tc>
        <w:tc>
          <w:tcPr>
            <w:tcW w:w="6664" w:type="dxa"/>
            <w:vAlign w:val="center"/>
          </w:tcPr>
          <w:p w14:paraId="77236C65">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在服务期内，一旦发生网络安全事故，供应商需要做出及时应急响应，以最快时间内到达现场，提供应急响应保障服务方案（方案中需提供应急响应团队名单不少于3人和社保证明）及供应商注册地至客户现场所需时间证明材料并盖章；方案细致全面、合理，完全响应需求，30分钟内到达客户现场，得10分；</w:t>
            </w:r>
          </w:p>
          <w:p w14:paraId="38C0C2D7">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方案较为完整，基本响应需求，60分钟内到达客户现场，得5分；</w:t>
            </w:r>
          </w:p>
          <w:p w14:paraId="48BCF531">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方案不完整、响应度低、技术可行性较低，120分钟内到达客户现场，得3分；</w:t>
            </w:r>
          </w:p>
          <w:p w14:paraId="48420998">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无方案及所需时间证明材料的不得分。</w:t>
            </w: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hint="eastAsia"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07A66834">
      <w:pPr>
        <w:pStyle w:val="25"/>
        <w:rPr>
          <w:rFonts w:hint="eastAsia" w:ascii="宋体" w:hAnsi="宋体"/>
          <w:color w:val="000000"/>
          <w:kern w:val="0"/>
          <w:sz w:val="28"/>
          <w:szCs w:val="28"/>
        </w:rPr>
      </w:pPr>
      <w:r>
        <w:rPr>
          <w:rFonts w:hint="eastAsia" w:ascii="宋体" w:hAnsi="宋体"/>
          <w:color w:val="000000"/>
          <w:kern w:val="0"/>
          <w:sz w:val="28"/>
          <w:szCs w:val="28"/>
        </w:rPr>
        <w:t>网络安全等级保护测评</w:t>
      </w:r>
    </w:p>
    <w:p w14:paraId="5B1C0F0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(1)开展信息系统安全等级保护现状测评工作</w:t>
      </w:r>
    </w:p>
    <w:p w14:paraId="792FCA56">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依据相关标准，结合行业特点和自身安全需求，为信息系统开展信息系统安全等级保护现状测评工作，提供包括但不限于以下服务内容：</w:t>
      </w:r>
    </w:p>
    <w:p w14:paraId="11C6847E">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1）信息收集：对项目涉及的所有信息系统开展调研工作，明确所有系统的物理环境及机房基础设施情况，网络架构，网络设备、安全设备部署情况，服务器分布及操作系统、数据库系统使用情况，应用系统业务流程、数据流向、用户群体情况，数据传输及存储备份情况，系统的高可用性需求情况，安全管理制度建设及执行情况。并根据收集的信息建立基础台账。</w:t>
      </w:r>
    </w:p>
    <w:p w14:paraId="7973DA79">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2）方案编制：根据收集的基础信息，识别各信息系统网络结构及其网络覆盖范围，系统构成、资产识别与赋值、威胁识别与赋值，明确检测评估目的及流程、明确检测评估对象及指标、明确检测评估方法及工具扫描接入点、明确检测评估实施步骤及配合需求、明确检测评估的实施计划。并据此编制实施方案、开发实施指导书。</w:t>
      </w:r>
    </w:p>
    <w:p w14:paraId="1EA977E9">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3）现场检测评估实施：依据测评方案、参照实施指导书，通过访谈、检查、测试、实地查看等方法开展现场检测评估活动，详细记录每个检测评估对象的安全现状。形成现场检测评估记录表。</w:t>
      </w:r>
    </w:p>
    <w:p w14:paraId="2882840F">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4）数据汇总分析：根据现场检测评估记录，按照物理安全、网络安全、主机安全、应用安全、数据安全、安全管理几个安全层面，汇总各安全层面测评对象的安全现状，明确已有安全措施的有效性，识别测评对象关联资产的脆弱性。形成安全措施汇总表、安全问题汇总表。</w:t>
      </w:r>
    </w:p>
    <w:p w14:paraId="1CD1BFA3">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5）安全问题交流：通过交流会的形式，对安全措施汇总表、安全问题汇总表中的内容进行沟通交流，明确安全问题是否真实存在，如有遗漏或不确定项需进行补充检测并详细记录结果；并针对存在的问题，结合威胁被利用的可能性、威胁被利用后的后果严重性，交流降低或规避风险的方法，提出初步的建设整改建议。</w:t>
      </w:r>
    </w:p>
    <w:p w14:paraId="2CCFA5E7">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6）建设整改方案设计：在明确安全问题的基础上，依据交流的建设整改建议，结合各信息系统实际情况，编制建设整改方案，为下一步建设整改实施提供依据。</w:t>
      </w:r>
    </w:p>
    <w:p w14:paraId="7716AE8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(2)开展信息系统安全等级保护符合性测评工作</w:t>
      </w:r>
    </w:p>
    <w:p w14:paraId="6F8690D8">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采购方建设整改工作完成后，针对现状测评过程中存在的安全差距开展符合性测评工作，确认之前存在的问题是否已经解决，验证整改活动是否已经切实有效的执行。若未完成，需配合采购方继续进行安全建设整改工作；当整改工作中的主要安全问题已基本解决，则编制提交《信息系统安全等级测评报告》。</w:t>
      </w:r>
    </w:p>
    <w:p w14:paraId="24BA4114">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(3)安全培训工作</w:t>
      </w:r>
    </w:p>
    <w:p w14:paraId="15799B59">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向采购方提供一次网络安全等级保护相关安全培训；</w:t>
      </w:r>
    </w:p>
    <w:p w14:paraId="223F89EA">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(4)项目实施方案，技术支持和服务保障</w:t>
      </w:r>
    </w:p>
    <w:p w14:paraId="6A783EB7">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1）针对本项目所描述项目需求进行业务分析并提出项目总体实施方案、测评方案。</w:t>
      </w:r>
    </w:p>
    <w:p w14:paraId="4A87E490">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2）实施方案，包括项目进度表和组织机构。</w:t>
      </w:r>
    </w:p>
    <w:p w14:paraId="6C5482A2">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3）技术支持和服务,要求制定详细的支持和服务保障方案，提供服务项目清单及自身服务承诺 (包括服务周期时间、费用)。</w:t>
      </w:r>
    </w:p>
    <w:p w14:paraId="200684DD">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4）为完成本项目，投标方应组建工作小组、明确组成人员职责。</w:t>
      </w:r>
    </w:p>
    <w:p w14:paraId="73825204">
      <w:pPr>
        <w:adjustRightInd w:val="0"/>
        <w:snapToGrid w:val="0"/>
        <w:spacing w:line="360" w:lineRule="auto"/>
        <w:ind w:right="211" w:firstLine="280" w:firstLineChars="100"/>
        <w:rPr>
          <w:rFonts w:hint="eastAsia" w:ascii="宋体" w:hAnsi="宋体" w:eastAsia="宋体" w:cs="Times New Roman"/>
          <w:bCs/>
          <w:kern w:val="0"/>
          <w:sz w:val="28"/>
          <w:u w:val="none" w:color="000000"/>
        </w:rPr>
      </w:pPr>
      <w:r>
        <w:rPr>
          <w:rFonts w:hint="eastAsia" w:ascii="宋体" w:hAnsi="宋体" w:eastAsia="宋体" w:cs="Times New Roman"/>
          <w:bCs/>
          <w:kern w:val="0"/>
          <w:sz w:val="28"/>
          <w:u w:val="none" w:color="000000"/>
        </w:rPr>
        <w:t>5）在项目现场实施周期内，投标人须为本项目成立等级保护测评小组，成员均须具有信息安全等级测评师资格。</w:t>
      </w:r>
    </w:p>
    <w:p w14:paraId="7021425A">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13A74610">
      <w:pPr>
        <w:adjustRightInd w:val="0"/>
        <w:snapToGrid w:val="0"/>
        <w:spacing w:line="360" w:lineRule="auto"/>
        <w:ind w:right="211"/>
        <w:rPr>
          <w:rFonts w:hint="eastAsia" w:ascii="宋体" w:hAnsi="宋体"/>
          <w:bCs/>
          <w:kern w:val="0"/>
          <w:sz w:val="28"/>
          <w:u w:val="none" w:color="000000"/>
        </w:rPr>
      </w:pPr>
      <w:r>
        <w:rPr>
          <w:rFonts w:hint="eastAsia" w:ascii="宋体" w:hAnsi="宋体"/>
          <w:bCs/>
          <w:kern w:val="0"/>
          <w:sz w:val="28"/>
          <w:u w:val="none" w:color="000000"/>
        </w:rPr>
        <w:t>1、项目实施原则</w:t>
      </w:r>
    </w:p>
    <w:p w14:paraId="63A90CBB">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(1)客观性和公正性原则：测评人员在项目实施过程中应无偏见，在最小主观判断情形下，按照评估双方相互认可的评估方案，基于明确定义的测评方式和解释，实施评估活动。</w:t>
      </w:r>
    </w:p>
    <w:p w14:paraId="7EFF3CE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(2)可重复性和可再现性原则：依照同一要求，使用同一评估方式，对每个评估实施过程的重复执行应该得到同样的结果。可再现性和可重复性的区别在于，前者与不同评估者评估结果的一致性有关，后者与同一评估者评估结果的一致性有关。</w:t>
      </w:r>
    </w:p>
    <w:p w14:paraId="4A039ABB">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(3)连续性原则：确保在高速变化的信息安全环境中，在有效的服务期间内，保证等级测评结论的准确性和及时性，对于新投产的信息系统和服务，或新建立的信息化项目，进行局部系统的重新评估。</w:t>
      </w:r>
    </w:p>
    <w:p w14:paraId="774246A8">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(4)扩展性原则：在评估过程结束后，信息安全等级保护测评过程要保持扩展性，从扩展的属性上进一步加强测评结束后采购方的安全管理有效性和可用性。</w:t>
      </w:r>
    </w:p>
    <w:p w14:paraId="3B68AE5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(5)保密原则：在测评过程中，需严格遵循保密原则，双方签订保密协议，对服务过程中涉及到的任何用户信息未经允许不向其他任何第三方泄漏，以及不得利用这些信息损害采购方利益。</w:t>
      </w:r>
    </w:p>
    <w:p w14:paraId="1BC4C88D">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(6)互动原则：在整个测评过程中，强调采购方的互动参与，每个阶段都能够及时根据行内要求和实际情况对测评的内容、方式做出相关调整，进而更好的进行等级测评工作。</w:t>
      </w:r>
    </w:p>
    <w:p w14:paraId="0538440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(7)最小影响原则：测评工作应该尽可能小地影响系统和网络的正常运行，不能对业务的正常运行产生明显的影响（包括系统性能明显下降、网络阻塞、服务中断等），如无法避免，则应做出说明。</w:t>
      </w:r>
    </w:p>
    <w:p w14:paraId="76BB1DA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(8)规范性原则：信息安全等级保护测评服务的实施必须由专业的测评服务人员依照规范的操作流程进行，对操作过程和结果要有相应的记录，并提供完整的服务报告。</w:t>
      </w:r>
    </w:p>
    <w:p w14:paraId="6C3BD746">
      <w:pPr>
        <w:adjustRightInd w:val="0"/>
        <w:snapToGrid w:val="0"/>
        <w:spacing w:line="360" w:lineRule="auto"/>
        <w:ind w:right="211"/>
        <w:rPr>
          <w:rFonts w:hint="eastAsia" w:ascii="宋体" w:hAnsi="宋体"/>
          <w:bCs/>
          <w:kern w:val="0"/>
          <w:sz w:val="28"/>
          <w:u w:val="none" w:color="000000"/>
        </w:rPr>
      </w:pPr>
      <w:r>
        <w:rPr>
          <w:rFonts w:hint="eastAsia" w:ascii="宋体" w:hAnsi="宋体"/>
          <w:bCs/>
          <w:kern w:val="0"/>
          <w:sz w:val="28"/>
          <w:u w:val="none" w:color="000000"/>
        </w:rPr>
        <w:t>(9)质量保障原则：在整个测评过程中，须特别重视项目质量管理。项目的实施将严格按照项目实施方案和流程进行，并由项目协调小组从中监督，控制项目的进度和质量。</w:t>
      </w:r>
    </w:p>
    <w:p w14:paraId="53BA9B90">
      <w:pPr>
        <w:tabs>
          <w:tab w:val="left" w:pos="709"/>
          <w:tab w:val="left" w:pos="993"/>
          <w:tab w:val="left" w:pos="1418"/>
        </w:tabs>
        <w:rPr>
          <w:rFonts w:hint="eastAsia" w:ascii="宋体" w:hAnsi="宋体" w:eastAsia="宋体" w:cs="Times New Roman"/>
          <w:b/>
          <w:color w:val="000000"/>
          <w:kern w:val="0"/>
          <w:sz w:val="28"/>
          <w:szCs w:val="28"/>
        </w:rPr>
      </w:pPr>
      <w:r>
        <w:rPr>
          <w:rFonts w:hint="eastAsia" w:ascii="宋体" w:hAnsi="宋体"/>
          <w:b/>
          <w:color w:val="000000"/>
          <w:kern w:val="0"/>
          <w:sz w:val="28"/>
          <w:szCs w:val="28"/>
        </w:rPr>
        <w:t>三、</w:t>
      </w:r>
      <w:r>
        <w:rPr>
          <w:rFonts w:hint="eastAsia" w:ascii="宋体" w:hAnsi="宋体" w:eastAsia="宋体" w:cs="Times New Roman"/>
          <w:b/>
          <w:color w:val="000000"/>
          <w:kern w:val="0"/>
          <w:sz w:val="28"/>
          <w:szCs w:val="28"/>
        </w:rPr>
        <w:t>项目实施方案，技术支持和服务保障</w:t>
      </w:r>
    </w:p>
    <w:p w14:paraId="68A346B7">
      <w:pPr>
        <w:tabs>
          <w:tab w:val="left" w:pos="630"/>
          <w:tab w:val="left" w:pos="735"/>
          <w:tab w:val="left" w:pos="945"/>
        </w:tabs>
        <w:spacing w:line="360" w:lineRule="auto"/>
        <w:ind w:firstLine="315" w:firstLineChars="150"/>
        <w:rPr>
          <w:rFonts w:hint="eastAsia" w:ascii="宋体" w:hAnsi="宋体"/>
          <w:color w:val="000000"/>
          <w:kern w:val="0"/>
          <w:sz w:val="28"/>
          <w:szCs w:val="28"/>
        </w:rPr>
      </w:pPr>
      <w:r>
        <w:rPr>
          <w:rFonts w:hint="eastAsia"/>
        </w:rPr>
        <w:t xml:space="preserve"> </w:t>
      </w:r>
      <w:r>
        <w:rPr>
          <w:rFonts w:hint="eastAsia" w:ascii="宋体" w:hAnsi="宋体"/>
          <w:color w:val="000000"/>
          <w:kern w:val="0"/>
          <w:sz w:val="28"/>
          <w:szCs w:val="28"/>
        </w:rPr>
        <w:t>1）针对本项目所描述项目需求进行业务分析并提出项目总体实施方案、测评方案。</w:t>
      </w:r>
    </w:p>
    <w:p w14:paraId="5382BCF9">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2）实施方案，包括项目进度表和组织机构。</w:t>
      </w:r>
    </w:p>
    <w:p w14:paraId="76D824D4">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3）技术支持和服务,要求制定详细的支持和服务保障方案，提供服务项目清单及自身服务承诺 (包括服务周期时间、费用)。</w:t>
      </w:r>
    </w:p>
    <w:p w14:paraId="6A21B5AE">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4）为完成本项目，投标方应组建工作小组、明确组成人员职责。</w:t>
      </w:r>
    </w:p>
    <w:p w14:paraId="3D0E5DDD">
      <w:pPr>
        <w:tabs>
          <w:tab w:val="left" w:pos="630"/>
          <w:tab w:val="left" w:pos="735"/>
          <w:tab w:val="left" w:pos="945"/>
        </w:tabs>
        <w:spacing w:line="360" w:lineRule="auto"/>
        <w:ind w:firstLine="420" w:firstLineChars="150"/>
      </w:pPr>
      <w:r>
        <w:rPr>
          <w:rFonts w:hint="eastAsia" w:ascii="宋体" w:hAnsi="宋体"/>
          <w:color w:val="000000"/>
          <w:kern w:val="0"/>
          <w:sz w:val="28"/>
          <w:szCs w:val="28"/>
        </w:rPr>
        <w:t>5）在项目现场实施周期内，投标人须为本项目成立等级保护测评小组，安排包括项目经理和核心技术人员在内现场驻场服务；驻场人员未经采购方同意项目实施途中不得随意更换；成员均须具有信息安全等级测评师资格，必须符合投标时投标文件中明确的人员。</w:t>
      </w:r>
    </w:p>
    <w:p w14:paraId="2F1B7D4B">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四、服务期限：一年</w:t>
      </w:r>
      <w:r>
        <w:rPr>
          <w:rFonts w:hint="eastAsia" w:ascii="宋体" w:hAnsi="宋体"/>
          <w:bCs/>
          <w:color w:val="000000"/>
          <w:kern w:val="0"/>
          <w:sz w:val="28"/>
          <w:szCs w:val="28"/>
        </w:rPr>
        <w:t>。</w:t>
      </w:r>
    </w:p>
    <w:p w14:paraId="58B55ED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w:t>
      </w:r>
    </w:p>
    <w:p w14:paraId="45391DC2">
      <w:pPr>
        <w:spacing w:line="360" w:lineRule="auto"/>
        <w:rPr>
          <w:rFonts w:hint="eastAsia" w:ascii="宋体" w:hAnsi="宋体"/>
          <w:b/>
          <w:color w:val="000000"/>
          <w:spacing w:val="4"/>
          <w:sz w:val="44"/>
          <w:szCs w:val="44"/>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ascii="宋体" w:hAnsi="宋体"/>
          <w:b/>
          <w:color w:val="000000"/>
          <w:kern w:val="0"/>
          <w:sz w:val="28"/>
          <w:szCs w:val="28"/>
        </w:rPr>
        <w:t xml:space="preserve"> </w:t>
      </w:r>
      <w:r>
        <w:rPr>
          <w:rFonts w:hint="eastAsia" w:ascii="宋体" w:hAnsi="宋体"/>
          <w:color w:val="000000"/>
          <w:kern w:val="0"/>
          <w:sz w:val="28"/>
          <w:szCs w:val="28"/>
        </w:rPr>
        <w:t>合同签订后</w:t>
      </w:r>
      <w:r>
        <w:rPr>
          <w:rFonts w:hint="eastAsia" w:ascii="宋体" w:hAnsi="宋体"/>
          <w:color w:val="000000"/>
          <w:kern w:val="0"/>
          <w:sz w:val="28"/>
          <w:szCs w:val="28"/>
          <w:lang w:val="en-US" w:eastAsia="zh-CN"/>
        </w:rPr>
        <w:t>走流程</w:t>
      </w:r>
      <w:r>
        <w:rPr>
          <w:rFonts w:hint="eastAsia" w:ascii="宋体" w:hAnsi="宋体"/>
          <w:color w:val="000000"/>
          <w:kern w:val="0"/>
          <w:sz w:val="28"/>
          <w:szCs w:val="28"/>
        </w:rPr>
        <w:t>付全款。</w:t>
      </w: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0A835B70">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int="eastAsia" w:hAnsi="宋体"/>
          <w:bCs/>
          <w:sz w:val="24"/>
        </w:rPr>
      </w:pPr>
    </w:p>
    <w:p w14:paraId="7FF0AEA2">
      <w:pPr>
        <w:tabs>
          <w:tab w:val="left" w:pos="210"/>
          <w:tab w:val="left" w:pos="840"/>
          <w:tab w:val="left" w:pos="1155"/>
        </w:tabs>
        <w:spacing w:line="440" w:lineRule="exact"/>
        <w:ind w:left="420" w:leftChars="200" w:firstLine="420" w:firstLineChars="175"/>
        <w:rPr>
          <w:rFonts w:hint="eastAsia" w:hAnsi="宋体"/>
          <w:bCs/>
          <w:sz w:val="24"/>
        </w:rPr>
      </w:pPr>
    </w:p>
    <w:p w14:paraId="025975C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hint="eastAsia"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AAC4CF">
      <w:pPr>
        <w:spacing w:before="156" w:beforeLines="50" w:line="360" w:lineRule="auto"/>
        <w:rPr>
          <w:rFonts w:hint="eastAsia" w:ascii="宋体" w:hAnsi="宋体"/>
          <w:b/>
          <w:kern w:val="0"/>
          <w:szCs w:val="21"/>
        </w:rPr>
      </w:pPr>
    </w:p>
    <w:p w14:paraId="27892ADA">
      <w:pPr>
        <w:spacing w:line="360" w:lineRule="auto"/>
        <w:rPr>
          <w:rFonts w:hint="eastAsia" w:ascii="宋体" w:hAnsi="宋体"/>
          <w:szCs w:val="21"/>
        </w:rPr>
      </w:pPr>
    </w:p>
    <w:p w14:paraId="472D77BC">
      <w:pPr>
        <w:spacing w:line="360" w:lineRule="auto"/>
        <w:rPr>
          <w:rFonts w:hint="eastAsia"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hint="eastAsia"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hint="eastAsia" w:ascii="宋体" w:hAnsi="宋体" w:cs="宋体"/>
          <w:bCs/>
          <w:sz w:val="28"/>
          <w:szCs w:val="28"/>
        </w:rPr>
      </w:pPr>
    </w:p>
    <w:p w14:paraId="3029B723">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hint="eastAsia" w:ascii="宋体" w:hAnsi="宋体" w:cs="宋体"/>
                <w:sz w:val="24"/>
                <w:szCs w:val="22"/>
              </w:rPr>
            </w:pPr>
            <w:r>
              <w:rPr>
                <w:rFonts w:hint="eastAsia" w:ascii="宋体" w:hAnsi="宋体" w:cs="宋体"/>
                <w:sz w:val="24"/>
                <w:szCs w:val="22"/>
              </w:rPr>
              <w:t>项目总报价</w:t>
            </w:r>
          </w:p>
          <w:p w14:paraId="213C927E">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服务期</w:t>
            </w:r>
          </w:p>
        </w:tc>
        <w:tc>
          <w:tcPr>
            <w:tcW w:w="7303" w:type="dxa"/>
            <w:vAlign w:val="center"/>
          </w:tcPr>
          <w:p w14:paraId="6C790BF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20C00AF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hint="eastAsia"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hint="eastAsia" w:ascii="宋体" w:hAnsi="宋体" w:cs="宋体"/>
                <w:sz w:val="24"/>
                <w:szCs w:val="22"/>
              </w:rPr>
            </w:pPr>
            <w:r>
              <w:rPr>
                <w:rFonts w:hint="eastAsia" w:ascii="宋体" w:hAnsi="宋体" w:cs="宋体"/>
                <w:sz w:val="24"/>
                <w:szCs w:val="22"/>
              </w:rPr>
              <w:t>投标文件</w:t>
            </w:r>
          </w:p>
          <w:p w14:paraId="058B612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hint="eastAsia"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26E8B197">
      <w:pPr>
        <w:spacing w:line="360" w:lineRule="auto"/>
        <w:ind w:firstLine="480" w:firstLineChars="200"/>
        <w:rPr>
          <w:color w:val="000000"/>
          <w:sz w:val="24"/>
        </w:rPr>
      </w:pPr>
    </w:p>
    <w:p w14:paraId="5E6413BE">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69B7D0FF">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7772190B">
      <w:pPr>
        <w:spacing w:line="360" w:lineRule="auto"/>
        <w:ind w:firstLine="480" w:firstLineChars="200"/>
        <w:rPr>
          <w:color w:val="000000"/>
          <w:sz w:val="24"/>
        </w:rPr>
      </w:pPr>
    </w:p>
    <w:p w14:paraId="37A9D9DF">
      <w:pPr>
        <w:spacing w:line="360" w:lineRule="auto"/>
        <w:ind w:firstLine="480" w:firstLineChars="200"/>
        <w:rPr>
          <w:color w:val="000000"/>
          <w:sz w:val="24"/>
        </w:rPr>
      </w:pPr>
    </w:p>
    <w:p w14:paraId="249F8F6A">
      <w:pPr>
        <w:spacing w:line="360" w:lineRule="auto"/>
        <w:ind w:firstLine="480" w:firstLineChars="200"/>
        <w:rPr>
          <w:color w:val="000000"/>
          <w:sz w:val="24"/>
        </w:rPr>
      </w:pPr>
    </w:p>
    <w:p w14:paraId="1038497C">
      <w:pPr>
        <w:spacing w:line="360" w:lineRule="auto"/>
        <w:ind w:firstLine="480" w:firstLineChars="200"/>
        <w:rPr>
          <w:color w:val="000000"/>
          <w:sz w:val="24"/>
        </w:rPr>
      </w:pPr>
    </w:p>
    <w:p w14:paraId="53486C4A">
      <w:pPr>
        <w:spacing w:line="360" w:lineRule="auto"/>
        <w:ind w:firstLine="480" w:firstLineChars="200"/>
        <w:rPr>
          <w:color w:val="000000"/>
          <w:sz w:val="24"/>
        </w:rPr>
      </w:pPr>
    </w:p>
    <w:p w14:paraId="0709C299">
      <w:pPr>
        <w:spacing w:line="360" w:lineRule="auto"/>
        <w:ind w:firstLine="480" w:firstLineChars="200"/>
        <w:rPr>
          <w:color w:val="000000"/>
          <w:sz w:val="24"/>
        </w:rPr>
      </w:pPr>
    </w:p>
    <w:p w14:paraId="357B773D">
      <w:pPr>
        <w:spacing w:line="360" w:lineRule="auto"/>
        <w:ind w:firstLine="480" w:firstLineChars="200"/>
        <w:rPr>
          <w:color w:val="000000"/>
          <w:sz w:val="24"/>
        </w:rPr>
      </w:pPr>
    </w:p>
    <w:p w14:paraId="7C11C4D1">
      <w:pPr>
        <w:spacing w:line="360" w:lineRule="auto"/>
        <w:ind w:firstLine="480" w:firstLineChars="200"/>
        <w:rPr>
          <w:color w:val="000000"/>
          <w:sz w:val="24"/>
        </w:rPr>
      </w:pPr>
    </w:p>
    <w:p w14:paraId="41984E00">
      <w:pPr>
        <w:spacing w:line="360" w:lineRule="auto"/>
        <w:ind w:firstLine="480" w:firstLineChars="200"/>
        <w:rPr>
          <w:color w:val="000000"/>
          <w:sz w:val="24"/>
        </w:rPr>
      </w:pPr>
    </w:p>
    <w:p w14:paraId="12C3AFE1">
      <w:pPr>
        <w:spacing w:line="360" w:lineRule="auto"/>
        <w:ind w:firstLine="480" w:firstLineChars="200"/>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264D5E0">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6C75B168">
                  <w:pPr>
                    <w:jc w:val="center"/>
                  </w:pPr>
                </w:p>
              </w:txbxContent>
            </v:textbox>
          </v:shape>
        </w:pic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2A68BB23">
                  <w:pPr>
                    <w:jc w:val="center"/>
                  </w:pPr>
                </w:p>
              </w:txbxContent>
            </v:textbox>
          </v:shape>
        </w:pic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2DEB25C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DDE33E"/>
    <w:multiLevelType w:val="singleLevel"/>
    <w:tmpl w:val="35DDE33E"/>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0B6B57E5"/>
    <w:rsid w:val="0F2141AB"/>
    <w:rsid w:val="296059B8"/>
    <w:rsid w:val="31C429DB"/>
    <w:rsid w:val="59902581"/>
    <w:rsid w:val="5FA20396"/>
    <w:rsid w:val="7E8E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4">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5">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6">
    <w:name w:val="heading 4"/>
    <w:basedOn w:val="1"/>
    <w:next w:val="1"/>
    <w:link w:val="29"/>
    <w:autoRedefine/>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7">
    <w:name w:val="heading 5"/>
    <w:basedOn w:val="1"/>
    <w:next w:val="1"/>
    <w:link w:val="30"/>
    <w:semiHidden/>
    <w:unhideWhenUsed/>
    <w:qFormat/>
    <w:uiPriority w:val="9"/>
    <w:pPr>
      <w:keepNext/>
      <w:keepLines/>
      <w:spacing w:before="80" w:after="40"/>
      <w:outlineLvl w:val="4"/>
    </w:pPr>
    <w:rPr>
      <w:rFonts w:cstheme="majorBidi"/>
      <w:color w:val="0F4761" w:themeColor="accent1" w:themeShade="BF"/>
      <w:sz w:val="24"/>
    </w:rPr>
  </w:style>
  <w:style w:type="paragraph" w:styleId="8">
    <w:name w:val="heading 6"/>
    <w:basedOn w:val="1"/>
    <w:next w:val="1"/>
    <w:link w:val="31"/>
    <w:semiHidden/>
    <w:unhideWhenUsed/>
    <w:qFormat/>
    <w:uiPriority w:val="9"/>
    <w:pPr>
      <w:keepNext/>
      <w:keepLines/>
      <w:spacing w:before="40"/>
      <w:outlineLvl w:val="5"/>
    </w:pPr>
    <w:rPr>
      <w:rFonts w:cstheme="majorBidi"/>
      <w:b/>
      <w:bCs/>
      <w:color w:val="0F4761" w:themeColor="accent1" w:themeShade="BF"/>
    </w:rPr>
  </w:style>
  <w:style w:type="paragraph" w:styleId="9">
    <w:name w:val="heading 7"/>
    <w:basedOn w:val="1"/>
    <w:next w:val="1"/>
    <w:link w:val="32"/>
    <w:semiHidden/>
    <w:unhideWhenUsed/>
    <w:qFormat/>
    <w:uiPriority w:val="9"/>
    <w:pPr>
      <w:keepNext/>
      <w:keepLines/>
      <w:spacing w:before="40"/>
      <w:outlineLvl w:val="6"/>
    </w:pPr>
    <w:rPr>
      <w:rFonts w:cstheme="majorBidi"/>
      <w:b/>
      <w:bCs/>
      <w:color w:val="585858" w:themeColor="text1" w:themeTint="A6"/>
    </w:rPr>
  </w:style>
  <w:style w:type="paragraph" w:styleId="10">
    <w:name w:val="heading 8"/>
    <w:basedOn w:val="1"/>
    <w:next w:val="1"/>
    <w:link w:val="33"/>
    <w:semiHidden/>
    <w:unhideWhenUsed/>
    <w:qFormat/>
    <w:uiPriority w:val="9"/>
    <w:pPr>
      <w:keepNext/>
      <w:keepLines/>
      <w:outlineLvl w:val="7"/>
    </w:pPr>
    <w:rPr>
      <w:rFonts w:cstheme="majorBidi"/>
      <w:color w:val="585858" w:themeColor="text1" w:themeTint="A6"/>
    </w:rPr>
  </w:style>
  <w:style w:type="paragraph" w:styleId="11">
    <w:name w:val="heading 9"/>
    <w:basedOn w:val="1"/>
    <w:next w:val="1"/>
    <w:link w:val="34"/>
    <w:semiHidden/>
    <w:unhideWhenUsed/>
    <w:qFormat/>
    <w:uiPriority w:val="9"/>
    <w:pPr>
      <w:keepNext/>
      <w:keepLines/>
      <w:outlineLvl w:val="8"/>
    </w:pPr>
    <w:rPr>
      <w:rFonts w:eastAsiaTheme="majorEastAsia" w:cstheme="majorBidi"/>
      <w:color w:val="585858" w:themeColor="text1" w:themeTint="A6"/>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sz w:val="20"/>
    </w:rPr>
  </w:style>
  <w:style w:type="paragraph" w:styleId="12">
    <w:name w:val="Body Text Indent"/>
    <w:basedOn w:val="1"/>
    <w:link w:val="48"/>
    <w:semiHidden/>
    <w:unhideWhenUsed/>
    <w:qFormat/>
    <w:uiPriority w:val="99"/>
    <w:pPr>
      <w:spacing w:after="120"/>
      <w:ind w:left="420" w:leftChars="200"/>
    </w:pPr>
  </w:style>
  <w:style w:type="paragraph" w:styleId="13">
    <w:name w:val="Date"/>
    <w:basedOn w:val="1"/>
    <w:next w:val="1"/>
    <w:link w:val="46"/>
    <w:autoRedefine/>
    <w:qFormat/>
    <w:uiPriority w:val="0"/>
    <w:pPr>
      <w:ind w:left="2500" w:leftChars="2500"/>
    </w:pPr>
    <w:rPr>
      <w:rFonts w:eastAsia="黑体"/>
      <w:kern w:val="0"/>
      <w:sz w:val="32"/>
    </w:rPr>
  </w:style>
  <w:style w:type="paragraph" w:styleId="14">
    <w:name w:val="footer"/>
    <w:basedOn w:val="1"/>
    <w:link w:val="45"/>
    <w:unhideWhenUsed/>
    <w:qFormat/>
    <w:uiPriority w:val="99"/>
    <w:pPr>
      <w:tabs>
        <w:tab w:val="center" w:pos="4153"/>
        <w:tab w:val="right" w:pos="8306"/>
      </w:tabs>
      <w:snapToGrid w:val="0"/>
    </w:pPr>
    <w:rPr>
      <w:sz w:val="18"/>
      <w:szCs w:val="18"/>
    </w:rPr>
  </w:style>
  <w:style w:type="paragraph" w:styleId="15">
    <w:name w:val="header"/>
    <w:basedOn w:val="1"/>
    <w:link w:val="44"/>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6"/>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paragraph" w:customStyle="1" w:styleId="25">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标题 1 字符"/>
    <w:basedOn w:val="22"/>
    <w:link w:val="3"/>
    <w:autoRedefine/>
    <w:qFormat/>
    <w:uiPriority w:val="9"/>
    <w:rPr>
      <w:rFonts w:asciiTheme="majorHAnsi" w:hAnsiTheme="majorHAnsi" w:eastAsiaTheme="majorEastAsia" w:cstheme="majorBidi"/>
      <w:color w:val="0F4761" w:themeColor="accent1" w:themeShade="BF"/>
      <w:sz w:val="48"/>
      <w:szCs w:val="48"/>
    </w:rPr>
  </w:style>
  <w:style w:type="character" w:customStyle="1" w:styleId="27">
    <w:name w:val="标题 2 字符"/>
    <w:basedOn w:val="22"/>
    <w:link w:val="4"/>
    <w:semiHidden/>
    <w:qFormat/>
    <w:uiPriority w:val="9"/>
    <w:rPr>
      <w:rFonts w:asciiTheme="majorHAnsi" w:hAnsiTheme="majorHAnsi" w:eastAsiaTheme="majorEastAsia" w:cstheme="majorBidi"/>
      <w:color w:val="0F4761" w:themeColor="accent1" w:themeShade="BF"/>
      <w:sz w:val="40"/>
      <w:szCs w:val="40"/>
    </w:rPr>
  </w:style>
  <w:style w:type="character" w:customStyle="1" w:styleId="28">
    <w:name w:val="标题 3 字符"/>
    <w:basedOn w:val="22"/>
    <w:link w:val="5"/>
    <w:autoRedefine/>
    <w:semiHidden/>
    <w:qFormat/>
    <w:uiPriority w:val="9"/>
    <w:rPr>
      <w:rFonts w:asciiTheme="majorHAnsi" w:hAnsiTheme="majorHAnsi" w:eastAsiaTheme="majorEastAsia" w:cstheme="majorBidi"/>
      <w:color w:val="0F4761" w:themeColor="accent1" w:themeShade="BF"/>
      <w:sz w:val="32"/>
      <w:szCs w:val="32"/>
    </w:rPr>
  </w:style>
  <w:style w:type="character" w:customStyle="1" w:styleId="29">
    <w:name w:val="标题 4 字符"/>
    <w:basedOn w:val="22"/>
    <w:link w:val="6"/>
    <w:semiHidden/>
    <w:qFormat/>
    <w:uiPriority w:val="9"/>
    <w:rPr>
      <w:rFonts w:cstheme="majorBidi"/>
      <w:color w:val="0F4761" w:themeColor="accent1" w:themeShade="BF"/>
      <w:sz w:val="28"/>
      <w:szCs w:val="28"/>
    </w:rPr>
  </w:style>
  <w:style w:type="character" w:customStyle="1" w:styleId="30">
    <w:name w:val="标题 5 字符"/>
    <w:basedOn w:val="22"/>
    <w:link w:val="7"/>
    <w:semiHidden/>
    <w:qFormat/>
    <w:uiPriority w:val="9"/>
    <w:rPr>
      <w:rFonts w:cstheme="majorBidi"/>
      <w:color w:val="0F4761" w:themeColor="accent1" w:themeShade="BF"/>
      <w:sz w:val="24"/>
    </w:rPr>
  </w:style>
  <w:style w:type="character" w:customStyle="1" w:styleId="31">
    <w:name w:val="标题 6 字符"/>
    <w:basedOn w:val="22"/>
    <w:link w:val="8"/>
    <w:semiHidden/>
    <w:qFormat/>
    <w:uiPriority w:val="9"/>
    <w:rPr>
      <w:rFonts w:cstheme="majorBidi"/>
      <w:b/>
      <w:bCs/>
      <w:color w:val="0F4761" w:themeColor="accent1" w:themeShade="BF"/>
    </w:rPr>
  </w:style>
  <w:style w:type="character" w:customStyle="1" w:styleId="32">
    <w:name w:val="标题 7 字符"/>
    <w:basedOn w:val="22"/>
    <w:link w:val="9"/>
    <w:semiHidden/>
    <w:qFormat/>
    <w:uiPriority w:val="9"/>
    <w:rPr>
      <w:rFonts w:cstheme="majorBidi"/>
      <w:b/>
      <w:bCs/>
      <w:color w:val="585858" w:themeColor="text1" w:themeTint="A6"/>
    </w:rPr>
  </w:style>
  <w:style w:type="character" w:customStyle="1" w:styleId="33">
    <w:name w:val="标题 8 字符"/>
    <w:basedOn w:val="22"/>
    <w:link w:val="10"/>
    <w:semiHidden/>
    <w:qFormat/>
    <w:uiPriority w:val="9"/>
    <w:rPr>
      <w:rFonts w:cstheme="majorBidi"/>
      <w:color w:val="585858" w:themeColor="text1" w:themeTint="A6"/>
    </w:rPr>
  </w:style>
  <w:style w:type="character" w:customStyle="1" w:styleId="34">
    <w:name w:val="标题 9 字符"/>
    <w:basedOn w:val="22"/>
    <w:link w:val="11"/>
    <w:semiHidden/>
    <w:qFormat/>
    <w:uiPriority w:val="9"/>
    <w:rPr>
      <w:rFonts w:eastAsiaTheme="majorEastAsia" w:cstheme="majorBidi"/>
      <w:color w:val="585858" w:themeColor="text1" w:themeTint="A6"/>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6"/>
    <w:autoRedefine/>
    <w:qFormat/>
    <w:uiPriority w:val="11"/>
    <w:rPr>
      <w:rFonts w:asciiTheme="majorHAnsi" w:hAnsiTheme="majorHAnsi" w:eastAsiaTheme="majorEastAsia" w:cstheme="majorBidi"/>
      <w:color w:val="585858" w:themeColor="text1" w:themeTint="A6"/>
      <w:spacing w:val="15"/>
      <w:sz w:val="28"/>
      <w:szCs w:val="28"/>
    </w:rPr>
  </w:style>
  <w:style w:type="paragraph" w:styleId="37">
    <w:name w:val="Quote"/>
    <w:basedOn w:val="1"/>
    <w:next w:val="1"/>
    <w:link w:val="38"/>
    <w:autoRedefine/>
    <w:qFormat/>
    <w:uiPriority w:val="29"/>
    <w:pPr>
      <w:spacing w:before="160"/>
      <w:jc w:val="center"/>
    </w:pPr>
    <w:rPr>
      <w:i/>
      <w:iCs/>
      <w:color w:val="3F3F3F" w:themeColor="text1" w:themeTint="BF"/>
    </w:rPr>
  </w:style>
  <w:style w:type="character" w:customStyle="1" w:styleId="38">
    <w:name w:val="引用 字符"/>
    <w:basedOn w:val="22"/>
    <w:link w:val="37"/>
    <w:qFormat/>
    <w:uiPriority w:val="29"/>
    <w:rPr>
      <w:i/>
      <w:iCs/>
      <w:color w:val="3F3F3F" w:themeColor="text1" w:themeTint="BF"/>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0F4761"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2">
    <w:name w:val="明显引用 字符"/>
    <w:basedOn w:val="22"/>
    <w:link w:val="41"/>
    <w:qFormat/>
    <w:uiPriority w:val="30"/>
    <w:rPr>
      <w:i/>
      <w:iCs/>
      <w:color w:val="0F4761" w:themeColor="accent1" w:themeShade="BF"/>
    </w:rPr>
  </w:style>
  <w:style w:type="character" w:customStyle="1" w:styleId="43">
    <w:name w:val="明显参考1"/>
    <w:basedOn w:val="22"/>
    <w:qFormat/>
    <w:uiPriority w:val="32"/>
    <w:rPr>
      <w:b/>
      <w:bCs/>
      <w:smallCaps/>
      <w:color w:val="0F4761" w:themeColor="accent1" w:themeShade="BF"/>
      <w:spacing w:val="5"/>
    </w:rPr>
  </w:style>
  <w:style w:type="character" w:customStyle="1" w:styleId="44">
    <w:name w:val="页眉 字符"/>
    <w:basedOn w:val="22"/>
    <w:link w:val="15"/>
    <w:qFormat/>
    <w:uiPriority w:val="99"/>
    <w:rPr>
      <w:sz w:val="18"/>
      <w:szCs w:val="18"/>
    </w:rPr>
  </w:style>
  <w:style w:type="character" w:customStyle="1" w:styleId="45">
    <w:name w:val="页脚 字符"/>
    <w:basedOn w:val="22"/>
    <w:link w:val="14"/>
    <w:qFormat/>
    <w:uiPriority w:val="99"/>
    <w:rPr>
      <w:sz w:val="18"/>
      <w:szCs w:val="18"/>
    </w:rPr>
  </w:style>
  <w:style w:type="character" w:customStyle="1" w:styleId="46">
    <w:name w:val="日期 字符"/>
    <w:basedOn w:val="22"/>
    <w:link w:val="13"/>
    <w:qFormat/>
    <w:uiPriority w:val="0"/>
    <w:rPr>
      <w:rFonts w:ascii="Times New Roman" w:hAnsi="Times New Roman" w:eastAsia="黑体" w:cs="Times New Roman"/>
      <w:kern w:val="0"/>
      <w:sz w:val="32"/>
    </w:rPr>
  </w:style>
  <w:style w:type="paragraph" w:customStyle="1" w:styleId="47">
    <w:name w:val="正文文本首行缩进 21"/>
    <w:basedOn w:val="12"/>
    <w:unhideWhenUsed/>
    <w:qFormat/>
    <w:uiPriority w:val="99"/>
    <w:pPr>
      <w:ind w:firstLine="420" w:firstLineChars="200"/>
    </w:pPr>
    <w:rPr>
      <w:rFonts w:ascii="宋体"/>
      <w:spacing w:val="-4"/>
    </w:rPr>
  </w:style>
  <w:style w:type="character" w:customStyle="1" w:styleId="48">
    <w:name w:val="正文文本缩进 字符"/>
    <w:basedOn w:val="22"/>
    <w:link w:val="12"/>
    <w:semiHidden/>
    <w:qFormat/>
    <w:uiPriority w:val="99"/>
    <w:rPr>
      <w:rFonts w:ascii="Times New Roman" w:hAnsi="Times New Roman" w:eastAsia="宋体" w:cs="Times New Roman"/>
      <w:kern w:val="2"/>
      <w:sz w:val="21"/>
      <w:szCs w:val="24"/>
    </w:rPr>
  </w:style>
  <w:style w:type="character" w:customStyle="1" w:styleId="49">
    <w:name w:val="加粗样式1 字符"/>
    <w:link w:val="50"/>
    <w:qFormat/>
    <w:uiPriority w:val="0"/>
    <w:rPr>
      <w:rFonts w:ascii="宋体" w:hAnsi="宋体" w:eastAsia="宋体" w:cs="Times New Roman"/>
      <w:b/>
      <w:bCs/>
      <w:kern w:val="2"/>
      <w:sz w:val="24"/>
      <w:szCs w:val="22"/>
      <w:u w:val="single"/>
      <w:lang w:val="en-US" w:eastAsia="zh-CN" w:bidi="ar-SA"/>
    </w:rPr>
  </w:style>
  <w:style w:type="paragraph" w:customStyle="1" w:styleId="50">
    <w:name w:val="加粗样式1"/>
    <w:link w:val="49"/>
    <w:qFormat/>
    <w:uiPriority w:val="0"/>
    <w:rPr>
      <w:rFonts w:ascii="宋体" w:hAnsi="宋体" w:eastAsia="宋体" w:cs="Times New Roman"/>
      <w:b/>
      <w:bCs/>
      <w:kern w:val="2"/>
      <w:sz w:val="24"/>
      <w:szCs w:val="22"/>
      <w:u w:val="single"/>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9630</Words>
  <Characters>10409</Characters>
  <Lines>70</Lines>
  <Paragraphs>19</Paragraphs>
  <TotalTime>3</TotalTime>
  <ScaleCrop>false</ScaleCrop>
  <LinksUpToDate>false</LinksUpToDate>
  <CharactersWithSpaces>11744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2025-08-25T02:35:44Z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2EB2F0FF9BE14D69B4008EE9D2C34408</vt:lpwstr>
  </property>
  <property fmtid="{D5CDD505-2E9C-101B-9397-08002B2CF9AE}" pid="4" name="KSOTemplateDocerSaveRecord">
    <vt:lpwstr>eyJoZGlkIjoiM2FlOWJiOWEwMjgzNmY0MWM1YTAzOGU0OGMyNjE0MWEiLCJ1c2VySWQiOiIxNjExNjg4MDYzIn0=</vt:lpwstr>
  </property>
</Properties>
</file>